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B88F5" w14:textId="77777777" w:rsidR="00A52451" w:rsidRDefault="00A52451" w:rsidP="00550220">
      <w:pPr>
        <w:pStyle w:val="Date"/>
        <w:spacing w:after="360" w:line="240" w:lineRule="auto"/>
        <w:ind w:left="5823" w:hanging="11"/>
        <w:rPr>
          <w:lang w:val="en-IE"/>
        </w:rPr>
      </w:pPr>
    </w:p>
    <w:p w14:paraId="04941F67" w14:textId="5014FF2D" w:rsidR="00550220" w:rsidRPr="00614FB9" w:rsidRDefault="00550220" w:rsidP="00550220">
      <w:pPr>
        <w:pStyle w:val="Date"/>
        <w:spacing w:after="360" w:line="240" w:lineRule="auto"/>
        <w:ind w:left="5823" w:hanging="11"/>
        <w:rPr>
          <w:szCs w:val="24"/>
          <w:lang w:val="en-IE"/>
        </w:rPr>
      </w:pPr>
      <w:r w:rsidRPr="00FD0277">
        <w:rPr>
          <w:lang w:val="en-IE"/>
        </w:rPr>
        <w:t xml:space="preserve">Brussels, </w:t>
      </w:r>
      <w:r w:rsidR="00A52451">
        <w:rPr>
          <w:lang w:val="en-IE"/>
        </w:rPr>
        <w:t>2 February</w:t>
      </w:r>
      <w:r w:rsidRPr="00FD0277">
        <w:rPr>
          <w:lang w:val="en-IE"/>
        </w:rPr>
        <w:t xml:space="preserve"> </w:t>
      </w:r>
      <w:r w:rsidRPr="00FD0277">
        <w:rPr>
          <w:szCs w:val="24"/>
          <w:lang w:val="en-IE"/>
        </w:rPr>
        <w:t>202</w:t>
      </w:r>
      <w:r w:rsidR="00E72582">
        <w:rPr>
          <w:szCs w:val="24"/>
          <w:lang w:val="en-IE"/>
        </w:rPr>
        <w:t>2</w:t>
      </w:r>
    </w:p>
    <w:p w14:paraId="41856871" w14:textId="4ED3DF7D" w:rsidR="00550220" w:rsidRPr="00614FB9" w:rsidRDefault="00550220" w:rsidP="00550220">
      <w:pPr>
        <w:rPr>
          <w:b/>
          <w:lang w:val="en-IE"/>
        </w:rPr>
      </w:pPr>
      <w:r w:rsidRPr="00614FB9">
        <w:rPr>
          <w:b/>
          <w:lang w:val="en-IE"/>
        </w:rPr>
        <w:t>SP(20</w:t>
      </w:r>
      <w:r w:rsidR="000F67B9">
        <w:rPr>
          <w:b/>
          <w:lang w:val="en-IE"/>
        </w:rPr>
        <w:t>2</w:t>
      </w:r>
      <w:r w:rsidR="00E72582">
        <w:rPr>
          <w:b/>
          <w:lang w:val="en-IE"/>
        </w:rPr>
        <w:t>2</w:t>
      </w:r>
      <w:r w:rsidRPr="00614FB9">
        <w:rPr>
          <w:b/>
          <w:lang w:val="en-IE"/>
        </w:rPr>
        <w:t>) </w:t>
      </w:r>
      <w:r w:rsidR="00E82FA2">
        <w:rPr>
          <w:b/>
          <w:lang w:val="en-IE"/>
        </w:rPr>
        <w:t>38</w:t>
      </w: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1ED08649" w:rsidR="00550220" w:rsidRPr="00A52451" w:rsidRDefault="00661375" w:rsidP="00A52451">
      <w:pPr>
        <w:pStyle w:val="Subject"/>
        <w:spacing w:after="720"/>
        <w:ind w:left="0" w:right="-28" w:firstLine="0"/>
        <w:jc w:val="center"/>
        <w:rPr>
          <w:rFonts w:ascii="Times New Roman" w:hAnsi="Times New Roman"/>
          <w:sz w:val="32"/>
          <w:szCs w:val="32"/>
          <w:u w:val="single"/>
        </w:rPr>
      </w:pPr>
      <w:r w:rsidRPr="00A52451">
        <w:rPr>
          <w:rFonts w:ascii="Times New Roman" w:hAnsi="Times New Roman"/>
          <w:sz w:val="32"/>
          <w:szCs w:val="32"/>
          <w:u w:val="single"/>
        </w:rPr>
        <w:t xml:space="preserve">Replies of the </w:t>
      </w:r>
      <w:r w:rsidR="00550220" w:rsidRPr="00A52451">
        <w:rPr>
          <w:rFonts w:ascii="Times New Roman" w:hAnsi="Times New Roman"/>
          <w:sz w:val="32"/>
          <w:szCs w:val="32"/>
          <w:u w:val="single"/>
        </w:rPr>
        <w:t xml:space="preserve">Commission </w:t>
      </w:r>
      <w:r w:rsidRPr="00A52451">
        <w:rPr>
          <w:rFonts w:ascii="Times New Roman" w:hAnsi="Times New Roman"/>
          <w:sz w:val="32"/>
          <w:szCs w:val="32"/>
          <w:u w:val="single"/>
        </w:rPr>
        <w:t>to</w:t>
      </w:r>
      <w:r w:rsidR="00550220" w:rsidRPr="00A52451">
        <w:rPr>
          <w:rFonts w:ascii="Times New Roman" w:hAnsi="Times New Roman"/>
          <w:sz w:val="32"/>
          <w:szCs w:val="32"/>
          <w:u w:val="single"/>
        </w:rPr>
        <w:t xml:space="preserve"> positions and resolutions adopted by the European Parliament –</w:t>
      </w:r>
      <w:r w:rsidR="008600BB" w:rsidRPr="00A52451">
        <w:rPr>
          <w:rFonts w:ascii="Times New Roman" w:hAnsi="Times New Roman"/>
          <w:sz w:val="32"/>
          <w:szCs w:val="32"/>
          <w:u w:val="single"/>
        </w:rPr>
        <w:t xml:space="preserve"> </w:t>
      </w:r>
      <w:r w:rsidR="00E72582" w:rsidRPr="00A52451">
        <w:rPr>
          <w:rFonts w:ascii="Times New Roman" w:hAnsi="Times New Roman"/>
          <w:sz w:val="32"/>
          <w:szCs w:val="32"/>
          <w:u w:val="single"/>
        </w:rPr>
        <w:t>December 2021</w:t>
      </w:r>
      <w:r w:rsidR="00550220" w:rsidRPr="00A52451">
        <w:rPr>
          <w:rFonts w:ascii="Times New Roman" w:hAnsi="Times New Roman"/>
          <w:sz w:val="32"/>
          <w:szCs w:val="32"/>
          <w:u w:val="single"/>
        </w:rPr>
        <w:t xml:space="preserve"> part-session</w:t>
      </w:r>
    </w:p>
    <w:p w14:paraId="7883C972" w14:textId="01A08CFE"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E72582">
        <w:rPr>
          <w:b/>
          <w:sz w:val="22"/>
          <w:lang w:val="en-GB"/>
        </w:rPr>
        <w:t>DECEMBER</w:t>
      </w:r>
      <w:r w:rsidR="002041F5">
        <w:rPr>
          <w:b/>
          <w:sz w:val="22"/>
          <w:lang w:val="en-GB"/>
        </w:rPr>
        <w:t xml:space="preserve"> </w:t>
      </w:r>
      <w:r w:rsidR="00AF05BB">
        <w:rPr>
          <w:b/>
          <w:sz w:val="22"/>
          <w:lang w:val="en-GB"/>
        </w:rPr>
        <w:t>202</w:t>
      </w:r>
      <w:r w:rsidR="008600BB">
        <w:rPr>
          <w:b/>
          <w:sz w:val="22"/>
          <w:lang w:val="en-GB"/>
        </w:rPr>
        <w:t>1</w:t>
      </w:r>
      <w:r w:rsidRPr="00EE64E6">
        <w:rPr>
          <w:b/>
          <w:sz w:val="22"/>
          <w:lang w:val="en-GB"/>
        </w:rPr>
        <w:t xml:space="preserve"> PART-SESSION.</w:t>
      </w:r>
    </w:p>
    <w:p w14:paraId="72D41285" w14:textId="64D3D2BB"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PARLIAMENT DURING THE SAME PART-SESSION,</w:t>
      </w:r>
      <w:r w:rsidR="00717BF5">
        <w:rPr>
          <w:b/>
          <w:sz w:val="22"/>
          <w:lang w:val="en-GB"/>
        </w:rPr>
        <w:t xml:space="preserve"> </w:t>
      </w:r>
      <w:r w:rsidRPr="00EE64E6">
        <w:rPr>
          <w:b/>
          <w:sz w:val="22"/>
          <w:lang w:val="en-GB"/>
        </w:rPr>
        <w:t>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0E0830"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64FF2265" w14:textId="416A4D94" w:rsidR="00E77CCF" w:rsidRDefault="00E77CCF" w:rsidP="00E77CCF">
      <w:pPr>
        <w:spacing w:before="360" w:after="360" w:line="240" w:lineRule="auto"/>
        <w:ind w:left="720"/>
        <w:rPr>
          <w:rStyle w:val="Hyperlink"/>
          <w:b/>
          <w:smallCaps/>
          <w:lang w:val="en-GB"/>
        </w:rPr>
      </w:pPr>
      <w:r w:rsidRPr="00D7781B">
        <w:rPr>
          <w:b/>
          <w:smallCaps/>
          <w:lang w:val="en-GB"/>
        </w:rPr>
        <w:t xml:space="preserve">Ordinary legislative procedure </w:t>
      </w:r>
      <w:r w:rsidRPr="00D7781B">
        <w:rPr>
          <w:szCs w:val="24"/>
          <w:lang w:val="en-GB"/>
        </w:rPr>
        <w:t>–</w:t>
      </w:r>
      <w:r w:rsidRPr="00D7781B">
        <w:rPr>
          <w:b/>
          <w:smallCaps/>
          <w:lang w:val="en-GB"/>
        </w:rPr>
        <w:t xml:space="preserve"> First reading</w:t>
      </w:r>
    </w:p>
    <w:p w14:paraId="2413B64F" w14:textId="398B8FBF" w:rsidR="00E77CCF" w:rsidRPr="00BC0646" w:rsidRDefault="000E0830" w:rsidP="00A36E60">
      <w:pPr>
        <w:pStyle w:val="ListParagraph"/>
        <w:numPr>
          <w:ilvl w:val="0"/>
          <w:numId w:val="40"/>
        </w:numPr>
        <w:spacing w:after="240" w:line="240" w:lineRule="auto"/>
        <w:ind w:left="1434" w:hanging="357"/>
        <w:contextualSpacing w:val="0"/>
        <w:jc w:val="both"/>
        <w:rPr>
          <w:lang w:val="en-GB"/>
        </w:rPr>
      </w:pPr>
      <w:hyperlink w:anchor="VERHEYEN" w:history="1">
        <w:r w:rsidR="00BC0646" w:rsidRPr="00BC0646">
          <w:rPr>
            <w:rStyle w:val="Hyperlink"/>
            <w:bCs/>
            <w:noProof/>
            <w:szCs w:val="24"/>
            <w:lang w:val="en-GB"/>
          </w:rPr>
          <w:t>European Year of Youth 2022</w:t>
        </w:r>
      </w:hyperlink>
    </w:p>
    <w:p w14:paraId="242460C6" w14:textId="3DCA906B" w:rsidR="00B567DF" w:rsidRPr="00BC0646" w:rsidRDefault="000E0830" w:rsidP="00A36E60">
      <w:pPr>
        <w:pStyle w:val="ListParagraph"/>
        <w:numPr>
          <w:ilvl w:val="0"/>
          <w:numId w:val="40"/>
        </w:numPr>
        <w:spacing w:after="240" w:line="240" w:lineRule="auto"/>
        <w:ind w:left="1434" w:hanging="357"/>
        <w:contextualSpacing w:val="0"/>
        <w:jc w:val="both"/>
        <w:rPr>
          <w:lang w:val="en-GB"/>
        </w:rPr>
      </w:pPr>
      <w:hyperlink w:anchor="LENAERS" w:history="1">
        <w:r w:rsidR="00BC0646" w:rsidRPr="00BC0646">
          <w:rPr>
            <w:rStyle w:val="Hyperlink"/>
            <w:bCs/>
            <w:szCs w:val="24"/>
            <w:shd w:val="clear" w:color="auto" w:fill="FFFFFF"/>
            <w:lang w:val="en-GB"/>
          </w:rPr>
          <w:t>Directive amending Council Framework Decision 2002/465/JHA, as regards its alignment with EU rules on the protection of personal data</w:t>
        </w:r>
      </w:hyperlink>
    </w:p>
    <w:p w14:paraId="4940DB67" w14:textId="2F03F2A9" w:rsidR="00FF50E3" w:rsidRPr="00A36E60" w:rsidRDefault="000E0830" w:rsidP="00A36E60">
      <w:pPr>
        <w:pStyle w:val="ListParagraph"/>
        <w:numPr>
          <w:ilvl w:val="0"/>
          <w:numId w:val="40"/>
        </w:numPr>
        <w:spacing w:before="360" w:after="360" w:line="240" w:lineRule="auto"/>
        <w:jc w:val="both"/>
        <w:rPr>
          <w:lang w:val="en-GB"/>
        </w:rPr>
      </w:pPr>
      <w:hyperlink w:anchor="KAJURLAND" w:history="1">
        <w:r w:rsidR="00A36E60" w:rsidRPr="00A36E60">
          <w:rPr>
            <w:rStyle w:val="Hyperlink"/>
            <w:bCs/>
            <w:szCs w:val="24"/>
            <w:shd w:val="clear" w:color="auto" w:fill="FFFFFF"/>
            <w:lang w:val="en-GB"/>
          </w:rPr>
          <w:t>Directive of the European Parliament and of the Council amending Directive 2014/41/EU, as regards its alignment with EU rules on the protection of personal data</w:t>
        </w:r>
      </w:hyperlink>
    </w:p>
    <w:p w14:paraId="441E1230" w14:textId="40519986" w:rsidR="00D7781B" w:rsidRDefault="00D7781B" w:rsidP="00D7781B">
      <w:pPr>
        <w:spacing w:before="360" w:after="360" w:line="240" w:lineRule="auto"/>
        <w:ind w:firstLine="720"/>
        <w:rPr>
          <w:b/>
          <w:smallCaps/>
          <w:lang w:val="en-GB"/>
        </w:rPr>
      </w:pPr>
      <w:r w:rsidRPr="00F75677">
        <w:rPr>
          <w:b/>
          <w:smallCaps/>
          <w:lang w:val="en-GB"/>
        </w:rPr>
        <w:t xml:space="preserve">Special legislative procedure </w:t>
      </w:r>
      <w:r w:rsidRPr="00F75677">
        <w:rPr>
          <w:szCs w:val="24"/>
          <w:lang w:val="en-GB"/>
        </w:rPr>
        <w:t>–</w:t>
      </w:r>
      <w:r w:rsidRPr="00F75677">
        <w:rPr>
          <w:b/>
          <w:smallCaps/>
          <w:lang w:val="en-GB"/>
        </w:rPr>
        <w:t xml:space="preserve"> First reading</w:t>
      </w:r>
    </w:p>
    <w:p w14:paraId="6C212B0E" w14:textId="57BF04BB" w:rsidR="00D7781B" w:rsidRPr="00FF50E3" w:rsidRDefault="000E0830" w:rsidP="00FF50E3">
      <w:pPr>
        <w:pStyle w:val="ListParagraph"/>
        <w:numPr>
          <w:ilvl w:val="0"/>
          <w:numId w:val="40"/>
        </w:numPr>
        <w:spacing w:before="360" w:after="240" w:line="240" w:lineRule="auto"/>
        <w:ind w:left="1434" w:hanging="357"/>
        <w:contextualSpacing w:val="0"/>
        <w:jc w:val="both"/>
        <w:rPr>
          <w:lang w:val="en-GB"/>
        </w:rPr>
      </w:pPr>
      <w:hyperlink w:anchor="FERNANDES" w:history="1">
        <w:r w:rsidR="00FF50E3" w:rsidRPr="00BF59E9">
          <w:rPr>
            <w:rStyle w:val="Hyperlink"/>
            <w:bCs/>
            <w:szCs w:val="24"/>
            <w:shd w:val="clear" w:color="auto" w:fill="FFFFFF"/>
            <w:lang w:val="en-GB"/>
          </w:rPr>
          <w:t>Predictability for Member States and to clarify procedures for dispute resolution when making available the traditional, VAT and GNI based own resources</w:t>
        </w:r>
      </w:hyperlink>
    </w:p>
    <w:p w14:paraId="20EEE92F" w14:textId="615A6109" w:rsidR="00E77CCF" w:rsidRPr="00E77CCF" w:rsidRDefault="000E0830"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6A845E12" w14:textId="77777777" w:rsidR="000749BB" w:rsidRDefault="000749BB" w:rsidP="00935ED8">
      <w:pPr>
        <w:spacing w:before="5040" w:line="240" w:lineRule="auto"/>
        <w:jc w:val="center"/>
        <w:rPr>
          <w:b/>
          <w:sz w:val="48"/>
          <w:lang w:val="en-GB"/>
        </w:rPr>
      </w:pPr>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3C62991F" w14:textId="77777777" w:rsidR="00BC0646" w:rsidRPr="00BC0646" w:rsidRDefault="00BC0646" w:rsidP="00BC0646">
      <w:pPr>
        <w:spacing w:after="240" w:line="240" w:lineRule="auto"/>
        <w:jc w:val="center"/>
        <w:rPr>
          <w:lang w:val="en-GB"/>
        </w:rPr>
      </w:pPr>
      <w:r w:rsidRPr="00BC0646">
        <w:rPr>
          <w:b/>
          <w:lang w:val="en-GB"/>
        </w:rPr>
        <w:t xml:space="preserve">ORDINARY LEGISLATIVE </w:t>
      </w:r>
      <w:r w:rsidRPr="00BC0646">
        <w:rPr>
          <w:b/>
          <w:caps/>
          <w:lang w:val="en-GB"/>
        </w:rPr>
        <w:t>procedure</w:t>
      </w:r>
      <w:r w:rsidRPr="00BC0646">
        <w:rPr>
          <w:b/>
          <w:lang w:val="en-GB"/>
        </w:rPr>
        <w:t xml:space="preserve"> – First reading</w:t>
      </w:r>
    </w:p>
    <w:p w14:paraId="2D990BB6" w14:textId="311D3208" w:rsidR="00BC0646" w:rsidRPr="00BC0646" w:rsidRDefault="00BC0646" w:rsidP="00BC0646">
      <w:pPr>
        <w:spacing w:after="600"/>
        <w:jc w:val="center"/>
        <w:rPr>
          <w:b/>
          <w:bCs/>
          <w:szCs w:val="24"/>
          <w:lang w:val="en-GB"/>
        </w:rPr>
      </w:pPr>
      <w:bookmarkStart w:id="1" w:name="VERHEYEN"/>
      <w:r w:rsidRPr="00BC0646">
        <w:rPr>
          <w:b/>
          <w:bCs/>
          <w:szCs w:val="24"/>
          <w:lang w:val="en-GB"/>
        </w:rPr>
        <w:t xml:space="preserve">Follow up to the </w:t>
      </w:r>
      <w:r w:rsidRPr="00BC0646">
        <w:rPr>
          <w:b/>
          <w:lang w:val="en-GB"/>
        </w:rPr>
        <w:t xml:space="preserve">European Parliament legislative </w:t>
      </w:r>
      <w:r w:rsidRPr="00BC0646">
        <w:rPr>
          <w:b/>
          <w:szCs w:val="24"/>
          <w:lang w:val="en-GB"/>
        </w:rPr>
        <w:t xml:space="preserve">resolution </w:t>
      </w:r>
      <w:r w:rsidRPr="00BC0646">
        <w:rPr>
          <w:b/>
          <w:bCs/>
          <w:szCs w:val="24"/>
          <w:shd w:val="clear" w:color="auto" w:fill="FFFFFF"/>
          <w:lang w:val="en-GB"/>
        </w:rPr>
        <w:t xml:space="preserve">on the proposal for a decision of the European Parliament and of the Council on </w:t>
      </w:r>
      <w:r w:rsidR="000E0830">
        <w:rPr>
          <w:b/>
          <w:bCs/>
          <w:szCs w:val="24"/>
          <w:shd w:val="clear" w:color="auto" w:fill="FFFFFF"/>
          <w:lang w:val="en-GB"/>
        </w:rPr>
        <w:br/>
      </w:r>
      <w:r w:rsidRPr="00BC0646">
        <w:rPr>
          <w:b/>
          <w:bCs/>
          <w:szCs w:val="24"/>
          <w:shd w:val="clear" w:color="auto" w:fill="FFFFFF"/>
          <w:lang w:val="en-GB"/>
        </w:rPr>
        <w:t>a European Year of Youth 2022</w:t>
      </w:r>
      <w:bookmarkEnd w:id="1"/>
    </w:p>
    <w:p w14:paraId="6363099A" w14:textId="77777777" w:rsidR="00BC0646" w:rsidRPr="00BC0646" w:rsidRDefault="00BC0646" w:rsidP="00BC0646">
      <w:pPr>
        <w:spacing w:before="100" w:beforeAutospacing="1" w:after="100" w:afterAutospacing="1"/>
        <w:ind w:left="567" w:hanging="567"/>
        <w:jc w:val="both"/>
        <w:rPr>
          <w:szCs w:val="24"/>
        </w:rPr>
      </w:pPr>
      <w:r w:rsidRPr="00BC0646">
        <w:rPr>
          <w:b/>
        </w:rPr>
        <w:t>1.</w:t>
      </w:r>
      <w:r w:rsidRPr="00BC0646">
        <w:rPr>
          <w:b/>
        </w:rPr>
        <w:tab/>
        <w:t xml:space="preserve">Rapporteur: </w:t>
      </w:r>
      <w:r w:rsidRPr="00BC0646">
        <w:rPr>
          <w:color w:val="1E1E1F"/>
          <w:szCs w:val="24"/>
        </w:rPr>
        <w:t>Sabine VERHEYEN (EPP / DE)</w:t>
      </w:r>
    </w:p>
    <w:p w14:paraId="69743388" w14:textId="77777777" w:rsidR="00BC0646" w:rsidRPr="00BC0646" w:rsidRDefault="00BC0646" w:rsidP="00BC0646">
      <w:pPr>
        <w:spacing w:before="100" w:beforeAutospacing="1" w:after="100" w:afterAutospacing="1"/>
        <w:ind w:left="567" w:hanging="567"/>
        <w:jc w:val="both"/>
        <w:rPr>
          <w:lang w:val="en-GB"/>
        </w:rPr>
      </w:pPr>
      <w:r w:rsidRPr="00BC0646">
        <w:rPr>
          <w:b/>
          <w:lang w:val="en-GB"/>
        </w:rPr>
        <w:t>2.</w:t>
      </w:r>
      <w:r w:rsidRPr="00BC0646">
        <w:rPr>
          <w:b/>
          <w:lang w:val="en-GB"/>
        </w:rPr>
        <w:tab/>
        <w:t>Reference numbers:</w:t>
      </w:r>
      <w:r w:rsidRPr="00BC0646">
        <w:rPr>
          <w:lang w:val="en-GB"/>
        </w:rPr>
        <w:t xml:space="preserve"> 2021/0328 (COD) / A9-0332/2021 / P9_TA-PROV(2021)0468</w:t>
      </w:r>
    </w:p>
    <w:p w14:paraId="29E9D966" w14:textId="77777777" w:rsidR="00BC0646" w:rsidRPr="00BC0646" w:rsidRDefault="00BC0646" w:rsidP="00BC0646">
      <w:pPr>
        <w:spacing w:before="100" w:beforeAutospacing="1" w:after="100" w:afterAutospacing="1"/>
        <w:ind w:left="567" w:hanging="567"/>
        <w:rPr>
          <w:lang w:val="en-GB"/>
        </w:rPr>
      </w:pPr>
      <w:r w:rsidRPr="00BC0646">
        <w:rPr>
          <w:b/>
          <w:lang w:val="en-GB"/>
        </w:rPr>
        <w:t>3.</w:t>
      </w:r>
      <w:r w:rsidRPr="00BC0646">
        <w:rPr>
          <w:b/>
          <w:lang w:val="en-GB"/>
        </w:rPr>
        <w:tab/>
        <w:t xml:space="preserve">Date of adoption of the resolution: </w:t>
      </w:r>
      <w:r w:rsidRPr="00BC0646">
        <w:rPr>
          <w:lang w:val="en-GB"/>
        </w:rPr>
        <w:t>14 December 2021</w:t>
      </w:r>
    </w:p>
    <w:p w14:paraId="0B45F49A" w14:textId="77777777" w:rsidR="00BC0646" w:rsidRPr="00BC0646" w:rsidRDefault="00BC0646" w:rsidP="00BC0646">
      <w:pPr>
        <w:spacing w:before="100" w:beforeAutospacing="1" w:after="100" w:afterAutospacing="1"/>
        <w:ind w:left="567" w:hanging="567"/>
        <w:jc w:val="both"/>
        <w:rPr>
          <w:lang w:val="en-GB"/>
        </w:rPr>
      </w:pPr>
      <w:r w:rsidRPr="00BC0646">
        <w:rPr>
          <w:b/>
          <w:lang w:val="en-GB"/>
        </w:rPr>
        <w:t>4.</w:t>
      </w:r>
      <w:r w:rsidRPr="00BC0646">
        <w:rPr>
          <w:b/>
          <w:lang w:val="en-GB"/>
        </w:rPr>
        <w:tab/>
        <w:t xml:space="preserve">Legal basis: </w:t>
      </w:r>
      <w:r w:rsidRPr="00BC0646">
        <w:rPr>
          <w:szCs w:val="24"/>
          <w:lang w:val="en-GB"/>
        </w:rPr>
        <w:t>Articles 165(4) and 166(4) of the Treaty on the Functioning of the European Union</w:t>
      </w:r>
    </w:p>
    <w:p w14:paraId="15C5638E" w14:textId="77777777" w:rsidR="00BC0646" w:rsidRPr="00BC0646" w:rsidRDefault="00BC0646" w:rsidP="00BC0646">
      <w:pPr>
        <w:shd w:val="clear" w:color="auto" w:fill="FFFFFF"/>
        <w:spacing w:after="100" w:afterAutospacing="1" w:line="288" w:lineRule="atLeast"/>
        <w:ind w:left="567" w:hanging="567"/>
        <w:jc w:val="both"/>
        <w:textAlignment w:val="center"/>
        <w:rPr>
          <w:i/>
          <w:lang w:val="en-GB"/>
        </w:rPr>
      </w:pPr>
      <w:r w:rsidRPr="00BC0646">
        <w:rPr>
          <w:b/>
          <w:lang w:val="en-GB"/>
        </w:rPr>
        <w:t>5.</w:t>
      </w:r>
      <w:r w:rsidRPr="00BC0646">
        <w:rPr>
          <w:b/>
          <w:lang w:val="en-GB"/>
        </w:rPr>
        <w:tab/>
        <w:t xml:space="preserve">Competent Parliamentary Committee: </w:t>
      </w:r>
      <w:r w:rsidRPr="00BC0646">
        <w:rPr>
          <w:lang w:val="en-GB"/>
        </w:rPr>
        <w:t>Committee on Culture and Education (CULT)</w:t>
      </w:r>
    </w:p>
    <w:p w14:paraId="0DAFD71D" w14:textId="54862833" w:rsidR="009D2705" w:rsidRDefault="00BC0646" w:rsidP="009D2705">
      <w:pPr>
        <w:spacing w:after="240" w:line="276" w:lineRule="auto"/>
        <w:ind w:left="567" w:hanging="567"/>
        <w:jc w:val="both"/>
        <w:rPr>
          <w:color w:val="000000"/>
          <w:szCs w:val="24"/>
          <w:lang w:val="en-GB"/>
        </w:rPr>
      </w:pPr>
      <w:r w:rsidRPr="00BC0646">
        <w:rPr>
          <w:b/>
          <w:lang w:val="en-GB"/>
        </w:rPr>
        <w:t>6.</w:t>
      </w:r>
      <w:r w:rsidRPr="00BC0646">
        <w:rPr>
          <w:b/>
          <w:lang w:val="en-GB"/>
        </w:rPr>
        <w:tab/>
        <w:t>Commission's position:</w:t>
      </w:r>
      <w:r w:rsidRPr="00BC0646">
        <w:rPr>
          <w:color w:val="000000"/>
          <w:sz w:val="22"/>
          <w:szCs w:val="22"/>
          <w:lang w:val="en-GB"/>
        </w:rPr>
        <w:t xml:space="preserve"> </w:t>
      </w:r>
      <w:r w:rsidRPr="00BC0646">
        <w:rPr>
          <w:color w:val="000000"/>
          <w:szCs w:val="24"/>
          <w:lang w:val="en-GB"/>
        </w:rPr>
        <w:t>Accepts all amendments.</w:t>
      </w:r>
      <w:r w:rsidR="009D2705">
        <w:rPr>
          <w:color w:val="000000"/>
          <w:szCs w:val="24"/>
          <w:lang w:val="en-GB"/>
        </w:rPr>
        <w:t xml:space="preserve"> The Commission presented the following statement:</w:t>
      </w:r>
    </w:p>
    <w:p w14:paraId="0A90F75F" w14:textId="77777777" w:rsidR="009D2705" w:rsidRPr="009D2705" w:rsidRDefault="009D2705" w:rsidP="009D2705">
      <w:pPr>
        <w:pStyle w:val="ManualConsidrant"/>
        <w:spacing w:before="0"/>
        <w:ind w:left="0" w:firstLine="0"/>
        <w:rPr>
          <w:iCs/>
        </w:rPr>
      </w:pPr>
      <w:r w:rsidRPr="009D2705">
        <w:rPr>
          <w:iCs/>
        </w:rPr>
        <w:t>The Commission takes note of the agreement of the co-legislators to introduce a minimum operational budget of EUR 8 million for the implementation of the European Year of Youth (2022), without prejudice to the possibility of complementary contributions from other relevant Union programmes and instruments in addition to this amount of EUR 8 million.</w:t>
      </w:r>
    </w:p>
    <w:p w14:paraId="0AC9A6CD" w14:textId="264D3AF8" w:rsidR="0026424D" w:rsidRDefault="009D2705" w:rsidP="009D2705">
      <w:pPr>
        <w:spacing w:after="120" w:line="240" w:lineRule="auto"/>
        <w:jc w:val="both"/>
        <w:rPr>
          <w:szCs w:val="24"/>
          <w:lang w:val="en-IE"/>
        </w:rPr>
      </w:pPr>
      <w:r w:rsidRPr="009D2705">
        <w:rPr>
          <w:iCs/>
          <w:lang w:val="en-GB"/>
        </w:rPr>
        <w:t>In addition, the Commission will carry out a mapping exercise throughout the Year and will regularly update it outlining the possible and actual contributions by EU programmes and instruments to the implementation of the European Year of Youth and reporting on the activities. The progress in the deployment of contributions by the Union programmes will be regularly presented to the European Parliament and the Council. These contributions should be considered as complementary and above the minimum operational budget of EUR</w:t>
      </w:r>
      <w:r>
        <w:rPr>
          <w:iCs/>
          <w:lang w:val="en-GB"/>
        </w:rPr>
        <w:t> </w:t>
      </w:r>
      <w:r w:rsidRPr="009D2705">
        <w:rPr>
          <w:iCs/>
          <w:lang w:val="en-GB"/>
        </w:rPr>
        <w:t>8</w:t>
      </w:r>
      <w:r>
        <w:rPr>
          <w:iCs/>
          <w:lang w:val="en-GB"/>
        </w:rPr>
        <w:t> </w:t>
      </w:r>
      <w:r w:rsidRPr="009D2705">
        <w:rPr>
          <w:iCs/>
          <w:lang w:val="en-GB"/>
        </w:rPr>
        <w:t>million</w:t>
      </w:r>
      <w:r w:rsidRPr="009D2705">
        <w:rPr>
          <w:i/>
          <w:iCs/>
          <w:lang w:val="en-GB"/>
        </w:rPr>
        <w:t>.</w:t>
      </w:r>
      <w:r w:rsidR="0026424D">
        <w:rPr>
          <w:szCs w:val="24"/>
          <w:lang w:val="en-IE"/>
        </w:rPr>
        <w:br w:type="page"/>
      </w:r>
    </w:p>
    <w:p w14:paraId="734F31AA" w14:textId="77777777" w:rsidR="00BC0646" w:rsidRPr="00BC0646" w:rsidRDefault="00BC0646" w:rsidP="00BC0646">
      <w:pPr>
        <w:spacing w:after="240" w:line="240" w:lineRule="auto"/>
        <w:jc w:val="center"/>
        <w:rPr>
          <w:lang w:val="en-GB"/>
        </w:rPr>
      </w:pPr>
      <w:bookmarkStart w:id="2" w:name="FADO"/>
      <w:r w:rsidRPr="00BC0646">
        <w:rPr>
          <w:b/>
          <w:lang w:val="en-GB"/>
        </w:rPr>
        <w:t xml:space="preserve">ORDINARY LEGISLATIVE </w:t>
      </w:r>
      <w:r w:rsidRPr="00BC0646">
        <w:rPr>
          <w:b/>
          <w:caps/>
          <w:lang w:val="en-GB"/>
        </w:rPr>
        <w:t>procedure</w:t>
      </w:r>
      <w:r w:rsidRPr="00BC0646">
        <w:rPr>
          <w:b/>
          <w:lang w:val="en-GB"/>
        </w:rPr>
        <w:t xml:space="preserve"> – First reading</w:t>
      </w:r>
    </w:p>
    <w:p w14:paraId="4031367A" w14:textId="4C70F722" w:rsidR="00BC0646" w:rsidRPr="00BC0646" w:rsidRDefault="00BC0646" w:rsidP="00BC0646">
      <w:pPr>
        <w:spacing w:after="600"/>
        <w:jc w:val="center"/>
        <w:rPr>
          <w:b/>
          <w:bCs/>
          <w:szCs w:val="24"/>
          <w:lang w:val="en-GB"/>
        </w:rPr>
      </w:pPr>
      <w:bookmarkStart w:id="3" w:name="LENAERS"/>
      <w:bookmarkEnd w:id="2"/>
      <w:r w:rsidRPr="00BC0646">
        <w:rPr>
          <w:b/>
          <w:bCs/>
          <w:szCs w:val="24"/>
          <w:lang w:val="en-GB"/>
        </w:rPr>
        <w:t xml:space="preserve">Follow up to the </w:t>
      </w:r>
      <w:r w:rsidRPr="00BC0646">
        <w:rPr>
          <w:b/>
          <w:lang w:val="en-GB"/>
        </w:rPr>
        <w:t xml:space="preserve">European Parliament legislative </w:t>
      </w:r>
      <w:r w:rsidRPr="00BC0646">
        <w:rPr>
          <w:b/>
          <w:szCs w:val="24"/>
          <w:lang w:val="en-GB"/>
        </w:rPr>
        <w:t xml:space="preserve">resolution </w:t>
      </w:r>
      <w:r w:rsidRPr="00BC0646">
        <w:rPr>
          <w:b/>
          <w:bCs/>
          <w:szCs w:val="24"/>
          <w:shd w:val="clear" w:color="auto" w:fill="FFFFFF"/>
          <w:lang w:val="en-GB"/>
        </w:rPr>
        <w:t xml:space="preserve">on the proposal for a directive of the European Parliament and of the Council amending Council Framework Decision 2002/465/JHA, as regards its alignment with EU rules </w:t>
      </w:r>
      <w:r w:rsidR="000E0830">
        <w:rPr>
          <w:b/>
          <w:bCs/>
          <w:szCs w:val="24"/>
          <w:shd w:val="clear" w:color="auto" w:fill="FFFFFF"/>
          <w:lang w:val="en-GB"/>
        </w:rPr>
        <w:br/>
      </w:r>
      <w:r w:rsidRPr="00BC0646">
        <w:rPr>
          <w:b/>
          <w:bCs/>
          <w:szCs w:val="24"/>
          <w:shd w:val="clear" w:color="auto" w:fill="FFFFFF"/>
          <w:lang w:val="en-GB"/>
        </w:rPr>
        <w:t>on the protection of personal data</w:t>
      </w:r>
      <w:bookmarkEnd w:id="3"/>
    </w:p>
    <w:p w14:paraId="3B03B991" w14:textId="77777777" w:rsidR="00BC0646" w:rsidRPr="00BC0646" w:rsidRDefault="00BC0646" w:rsidP="000E0830">
      <w:pPr>
        <w:spacing w:before="100" w:beforeAutospacing="1" w:after="100" w:afterAutospacing="1"/>
        <w:ind w:left="567" w:hanging="567"/>
        <w:jc w:val="both"/>
        <w:rPr>
          <w:szCs w:val="24"/>
        </w:rPr>
      </w:pPr>
      <w:r w:rsidRPr="00BC0646">
        <w:rPr>
          <w:b/>
        </w:rPr>
        <w:t>1.</w:t>
      </w:r>
      <w:r w:rsidRPr="00BC0646">
        <w:rPr>
          <w:b/>
        </w:rPr>
        <w:tab/>
        <w:t xml:space="preserve">Rapporteur: </w:t>
      </w:r>
      <w:r w:rsidRPr="00BC0646">
        <w:rPr>
          <w:color w:val="1E1E1F"/>
          <w:szCs w:val="24"/>
        </w:rPr>
        <w:t>Jeroen LENAERS (EPP / NL)</w:t>
      </w:r>
    </w:p>
    <w:p w14:paraId="18F2C1F3" w14:textId="77777777" w:rsidR="00BC0646" w:rsidRPr="00BC0646" w:rsidRDefault="00BC0646" w:rsidP="000E0830">
      <w:pPr>
        <w:spacing w:before="100" w:beforeAutospacing="1" w:after="100" w:afterAutospacing="1"/>
        <w:ind w:left="567" w:hanging="567"/>
        <w:jc w:val="both"/>
        <w:rPr>
          <w:lang w:val="en-GB"/>
        </w:rPr>
      </w:pPr>
      <w:r w:rsidRPr="00BC0646">
        <w:rPr>
          <w:b/>
          <w:lang w:val="en-GB"/>
        </w:rPr>
        <w:t>2.</w:t>
      </w:r>
      <w:r w:rsidRPr="00BC0646">
        <w:rPr>
          <w:b/>
          <w:lang w:val="en-GB"/>
        </w:rPr>
        <w:tab/>
        <w:t>Reference numbers:</w:t>
      </w:r>
      <w:r w:rsidRPr="00BC0646">
        <w:rPr>
          <w:lang w:val="en-GB"/>
        </w:rPr>
        <w:t xml:space="preserve"> 2021/0008 (COD) / A9-0236/2021 / P9_TA-PROV(2021)0487</w:t>
      </w:r>
    </w:p>
    <w:p w14:paraId="34074BB0" w14:textId="77777777" w:rsidR="00BC0646" w:rsidRPr="00BC0646" w:rsidRDefault="00BC0646" w:rsidP="000E0830">
      <w:pPr>
        <w:spacing w:before="100" w:beforeAutospacing="1" w:after="100" w:afterAutospacing="1"/>
        <w:ind w:left="567" w:hanging="567"/>
        <w:rPr>
          <w:lang w:val="en-GB"/>
        </w:rPr>
      </w:pPr>
      <w:r w:rsidRPr="00BC0646">
        <w:rPr>
          <w:b/>
          <w:lang w:val="en-GB"/>
        </w:rPr>
        <w:t>3.</w:t>
      </w:r>
      <w:r w:rsidRPr="00BC0646">
        <w:rPr>
          <w:b/>
          <w:lang w:val="en-GB"/>
        </w:rPr>
        <w:tab/>
        <w:t xml:space="preserve">Date of adoption of the resolution: </w:t>
      </w:r>
      <w:r w:rsidRPr="00BC0646">
        <w:rPr>
          <w:lang w:val="en-GB"/>
        </w:rPr>
        <w:t>14 December 2021</w:t>
      </w:r>
    </w:p>
    <w:p w14:paraId="16EF728F" w14:textId="77777777" w:rsidR="00BC0646" w:rsidRPr="00BC0646" w:rsidRDefault="00BC0646" w:rsidP="000E0830">
      <w:pPr>
        <w:spacing w:before="100" w:beforeAutospacing="1" w:after="100" w:afterAutospacing="1"/>
        <w:ind w:left="567" w:hanging="567"/>
        <w:jc w:val="both"/>
        <w:rPr>
          <w:lang w:val="en-GB"/>
        </w:rPr>
      </w:pPr>
      <w:r w:rsidRPr="00BC0646">
        <w:rPr>
          <w:b/>
          <w:lang w:val="en-GB"/>
        </w:rPr>
        <w:t>4.</w:t>
      </w:r>
      <w:r w:rsidRPr="00BC0646">
        <w:rPr>
          <w:b/>
          <w:lang w:val="en-GB"/>
        </w:rPr>
        <w:tab/>
        <w:t xml:space="preserve">Legal basis: </w:t>
      </w:r>
      <w:r w:rsidRPr="00BC0646">
        <w:rPr>
          <w:szCs w:val="24"/>
          <w:lang w:val="en-GB"/>
        </w:rPr>
        <w:t>Article 16(2) of the Treaty on the Functioning of the European Union</w:t>
      </w:r>
    </w:p>
    <w:p w14:paraId="7B0AA6B2" w14:textId="77777777" w:rsidR="00BC0646" w:rsidRPr="00BC0646" w:rsidRDefault="00BC0646" w:rsidP="000E0830">
      <w:pPr>
        <w:shd w:val="clear" w:color="auto" w:fill="FFFFFF"/>
        <w:spacing w:after="100" w:afterAutospacing="1" w:line="288" w:lineRule="atLeast"/>
        <w:ind w:left="567" w:hanging="567"/>
        <w:jc w:val="both"/>
        <w:textAlignment w:val="center"/>
        <w:rPr>
          <w:i/>
          <w:lang w:val="en-GB"/>
        </w:rPr>
      </w:pPr>
      <w:r w:rsidRPr="00BC0646">
        <w:rPr>
          <w:b/>
          <w:lang w:val="en-GB"/>
        </w:rPr>
        <w:t>5.</w:t>
      </w:r>
      <w:r w:rsidRPr="00BC0646">
        <w:rPr>
          <w:b/>
          <w:lang w:val="en-GB"/>
        </w:rPr>
        <w:tab/>
        <w:t xml:space="preserve">Competent Parliamentary Committee: </w:t>
      </w:r>
      <w:r w:rsidRPr="00BC0646">
        <w:rPr>
          <w:lang w:val="en-GB"/>
        </w:rPr>
        <w:t>Committee on Civil Liberties, Justice and Home Affairs (LIBE)</w:t>
      </w:r>
    </w:p>
    <w:p w14:paraId="2215C9CD" w14:textId="663076A1" w:rsidR="00B567DF" w:rsidRPr="00B04184" w:rsidRDefault="00BC0646" w:rsidP="000E0830">
      <w:pPr>
        <w:spacing w:after="200" w:line="240" w:lineRule="auto"/>
        <w:ind w:left="567" w:hanging="567"/>
        <w:jc w:val="both"/>
        <w:rPr>
          <w:highlight w:val="yellow"/>
          <w:lang w:val="en-GB"/>
        </w:rPr>
      </w:pPr>
      <w:r w:rsidRPr="00BC0646">
        <w:rPr>
          <w:b/>
          <w:lang w:val="en-GB"/>
        </w:rPr>
        <w:t>6.</w:t>
      </w:r>
      <w:r w:rsidRPr="00BC0646">
        <w:rPr>
          <w:b/>
          <w:lang w:val="en-GB"/>
        </w:rPr>
        <w:tab/>
        <w:t>Commission's position:</w:t>
      </w:r>
      <w:r w:rsidRPr="00BC0646">
        <w:rPr>
          <w:color w:val="000000"/>
          <w:sz w:val="22"/>
          <w:szCs w:val="22"/>
          <w:lang w:val="en-GB"/>
        </w:rPr>
        <w:t xml:space="preserve"> </w:t>
      </w:r>
      <w:r>
        <w:rPr>
          <w:color w:val="000000"/>
          <w:szCs w:val="24"/>
          <w:lang w:val="en-GB"/>
        </w:rPr>
        <w:t>Accepts all amendments</w:t>
      </w:r>
      <w:r w:rsidR="00B04184" w:rsidRPr="00B04184">
        <w:rPr>
          <w:lang w:val="en-GB"/>
        </w:rPr>
        <w:t>.</w:t>
      </w:r>
      <w:r w:rsidR="00B567DF" w:rsidRPr="00B04184">
        <w:rPr>
          <w:highlight w:val="yellow"/>
          <w:lang w:val="en-GB"/>
        </w:rPr>
        <w:br w:type="page"/>
      </w:r>
    </w:p>
    <w:p w14:paraId="2749FD86" w14:textId="77777777" w:rsidR="00A36E60" w:rsidRPr="00FC0CF0" w:rsidRDefault="00A36E60" w:rsidP="00A36E60">
      <w:pPr>
        <w:spacing w:after="240" w:line="240" w:lineRule="auto"/>
        <w:jc w:val="center"/>
        <w:rPr>
          <w:lang w:val="en-GB"/>
        </w:rPr>
      </w:pPr>
      <w:r w:rsidRPr="00FC0CF0">
        <w:rPr>
          <w:b/>
          <w:lang w:val="en-GB"/>
        </w:rPr>
        <w:t xml:space="preserve">ORDINARY LEGISLATIVE </w:t>
      </w:r>
      <w:r w:rsidRPr="00FC0CF0">
        <w:rPr>
          <w:b/>
          <w:caps/>
          <w:lang w:val="en-GB"/>
        </w:rPr>
        <w:t>procedure</w:t>
      </w:r>
      <w:r w:rsidRPr="00FC0CF0">
        <w:rPr>
          <w:b/>
          <w:lang w:val="en-GB"/>
        </w:rPr>
        <w:t xml:space="preserve"> – First reading</w:t>
      </w:r>
    </w:p>
    <w:p w14:paraId="5C8FCB01" w14:textId="77777777" w:rsidR="00A36E60" w:rsidRPr="009A0A45" w:rsidRDefault="00A36E60" w:rsidP="00A36E60">
      <w:pPr>
        <w:spacing w:after="600"/>
        <w:jc w:val="center"/>
        <w:rPr>
          <w:b/>
          <w:bCs/>
          <w:szCs w:val="24"/>
          <w:lang w:val="en-GB"/>
        </w:rPr>
      </w:pPr>
      <w:bookmarkStart w:id="4" w:name="KAJURLAND"/>
      <w:r w:rsidRPr="00FC0CF0">
        <w:rPr>
          <w:b/>
          <w:bCs/>
          <w:szCs w:val="24"/>
          <w:lang w:val="en-GB"/>
        </w:rPr>
        <w:t xml:space="preserve">Follow up to the </w:t>
      </w:r>
      <w:r w:rsidRPr="00FC0CF0">
        <w:rPr>
          <w:b/>
          <w:lang w:val="en-GB"/>
        </w:rPr>
        <w:t xml:space="preserve">European Parliament legislative </w:t>
      </w:r>
      <w:r w:rsidRPr="00740ECE">
        <w:rPr>
          <w:b/>
          <w:szCs w:val="24"/>
          <w:lang w:val="en-GB"/>
        </w:rPr>
        <w:t xml:space="preserve">resolution </w:t>
      </w:r>
      <w:r w:rsidRPr="009A0A45">
        <w:rPr>
          <w:b/>
          <w:bCs/>
          <w:szCs w:val="24"/>
          <w:shd w:val="clear" w:color="auto" w:fill="FFFFFF"/>
          <w:lang w:val="en-GB"/>
        </w:rPr>
        <w:t>on the proposal for a directive of the European Parliament and of the Council amending Directive 2014/41/EU, as regards its alignment with EU rules on the protection of personal data</w:t>
      </w:r>
      <w:bookmarkEnd w:id="4"/>
    </w:p>
    <w:p w14:paraId="136BD097" w14:textId="77777777" w:rsidR="00A36E60" w:rsidRPr="00733E5F" w:rsidRDefault="00A36E60" w:rsidP="00A36E60">
      <w:pPr>
        <w:spacing w:before="100" w:beforeAutospacing="1" w:after="100" w:afterAutospacing="1"/>
        <w:ind w:left="567" w:hanging="567"/>
        <w:jc w:val="both"/>
        <w:rPr>
          <w:szCs w:val="24"/>
        </w:rPr>
      </w:pPr>
      <w:r w:rsidRPr="00733E5F">
        <w:rPr>
          <w:b/>
        </w:rPr>
        <w:t>1.</w:t>
      </w:r>
      <w:r w:rsidRPr="00733E5F">
        <w:rPr>
          <w:b/>
        </w:rPr>
        <w:tab/>
        <w:t xml:space="preserve">Rapporteur: </w:t>
      </w:r>
      <w:r w:rsidRPr="009A0A45">
        <w:rPr>
          <w:color w:val="1E1E1F"/>
          <w:szCs w:val="24"/>
        </w:rPr>
        <w:t>Marina KALJURAND</w:t>
      </w:r>
      <w:r>
        <w:rPr>
          <w:color w:val="1E1E1F"/>
          <w:szCs w:val="24"/>
        </w:rPr>
        <w:t xml:space="preserve"> </w:t>
      </w:r>
      <w:r w:rsidRPr="00733E5F">
        <w:rPr>
          <w:color w:val="1E1E1F"/>
          <w:szCs w:val="24"/>
        </w:rPr>
        <w:t>(</w:t>
      </w:r>
      <w:r>
        <w:rPr>
          <w:color w:val="1E1E1F"/>
          <w:szCs w:val="24"/>
        </w:rPr>
        <w:t>S&amp;D</w:t>
      </w:r>
      <w:r w:rsidRPr="00733E5F">
        <w:rPr>
          <w:color w:val="1E1E1F"/>
          <w:szCs w:val="24"/>
        </w:rPr>
        <w:t xml:space="preserve"> / </w:t>
      </w:r>
      <w:r>
        <w:rPr>
          <w:color w:val="1E1E1F"/>
          <w:szCs w:val="24"/>
        </w:rPr>
        <w:t>ET</w:t>
      </w:r>
      <w:r w:rsidRPr="00733E5F">
        <w:rPr>
          <w:color w:val="1E1E1F"/>
          <w:szCs w:val="24"/>
        </w:rPr>
        <w:t>)</w:t>
      </w:r>
    </w:p>
    <w:p w14:paraId="2A2DE18F" w14:textId="77777777" w:rsidR="00A36E60" w:rsidRPr="00AC338E" w:rsidRDefault="00A36E60" w:rsidP="00A36E60">
      <w:pPr>
        <w:spacing w:before="100" w:beforeAutospacing="1" w:after="100" w:afterAutospacing="1"/>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21</w:t>
      </w:r>
      <w:r w:rsidRPr="00AC338E">
        <w:rPr>
          <w:lang w:val="en-GB"/>
        </w:rPr>
        <w:t>/0</w:t>
      </w:r>
      <w:r>
        <w:rPr>
          <w:lang w:val="en-GB"/>
        </w:rPr>
        <w:t>009</w:t>
      </w:r>
      <w:r w:rsidRPr="00AC338E">
        <w:rPr>
          <w:lang w:val="en-GB"/>
        </w:rPr>
        <w:t xml:space="preserve"> (COD) / A</w:t>
      </w:r>
      <w:r>
        <w:rPr>
          <w:lang w:val="en-GB"/>
        </w:rPr>
        <w:t>9</w:t>
      </w:r>
      <w:r w:rsidRPr="00AC338E">
        <w:rPr>
          <w:lang w:val="en-GB"/>
        </w:rPr>
        <w:t>-0</w:t>
      </w:r>
      <w:r>
        <w:rPr>
          <w:lang w:val="en-GB"/>
        </w:rPr>
        <w:t>237</w:t>
      </w:r>
      <w:r w:rsidRPr="00AC338E">
        <w:rPr>
          <w:lang w:val="en-GB"/>
        </w:rPr>
        <w:t>/20</w:t>
      </w:r>
      <w:r>
        <w:rPr>
          <w:lang w:val="en-GB"/>
        </w:rPr>
        <w:t>21</w:t>
      </w:r>
      <w:r w:rsidRPr="00AC338E">
        <w:rPr>
          <w:lang w:val="en-GB"/>
        </w:rPr>
        <w:t xml:space="preserve"> / P9_TA-PROV(2021)</w:t>
      </w:r>
      <w:r>
        <w:rPr>
          <w:lang w:val="en-GB"/>
        </w:rPr>
        <w:t>0488</w:t>
      </w:r>
    </w:p>
    <w:p w14:paraId="3D330756" w14:textId="77777777" w:rsidR="00A36E60" w:rsidRPr="00FC0CF0" w:rsidRDefault="00A36E60" w:rsidP="00A36E60">
      <w:pPr>
        <w:spacing w:before="100" w:beforeAutospacing="1" w:after="100" w:afterAutospacing="1"/>
        <w:ind w:left="567" w:hanging="567"/>
        <w:rPr>
          <w:lang w:val="en-GB"/>
        </w:rPr>
      </w:pPr>
      <w:r w:rsidRPr="00FC0CF0">
        <w:rPr>
          <w:b/>
          <w:lang w:val="en-GB"/>
        </w:rPr>
        <w:t>3.</w:t>
      </w:r>
      <w:r w:rsidRPr="00FC0CF0">
        <w:rPr>
          <w:b/>
          <w:lang w:val="en-GB"/>
        </w:rPr>
        <w:tab/>
        <w:t xml:space="preserve">Date of adoption of the resolution: </w:t>
      </w:r>
      <w:r>
        <w:rPr>
          <w:lang w:val="en-GB"/>
        </w:rPr>
        <w:t xml:space="preserve">14 December </w:t>
      </w:r>
      <w:r w:rsidRPr="007859CD">
        <w:rPr>
          <w:lang w:val="en-GB"/>
        </w:rPr>
        <w:t>2021</w:t>
      </w:r>
    </w:p>
    <w:p w14:paraId="69AD46A8" w14:textId="77777777" w:rsidR="00A36E60" w:rsidRPr="00FC0CF0" w:rsidRDefault="00A36E60" w:rsidP="00A36E60">
      <w:pPr>
        <w:spacing w:before="100" w:beforeAutospacing="1" w:after="100" w:afterAutospacing="1"/>
        <w:ind w:left="567" w:hanging="567"/>
        <w:jc w:val="both"/>
        <w:rPr>
          <w:lang w:val="en-GB"/>
        </w:rPr>
      </w:pPr>
      <w:r w:rsidRPr="00FC0CF0">
        <w:rPr>
          <w:b/>
          <w:lang w:val="en-GB"/>
        </w:rPr>
        <w:t>4.</w:t>
      </w:r>
      <w:r w:rsidRPr="00FC0CF0">
        <w:rPr>
          <w:b/>
          <w:lang w:val="en-GB"/>
        </w:rPr>
        <w:tab/>
        <w:t xml:space="preserve">Legal basis: </w:t>
      </w:r>
      <w:r w:rsidRPr="008235B8">
        <w:rPr>
          <w:szCs w:val="24"/>
          <w:lang w:val="en-GB"/>
        </w:rPr>
        <w:t>Article 16(</w:t>
      </w:r>
      <w:r>
        <w:rPr>
          <w:szCs w:val="24"/>
          <w:lang w:val="en-GB"/>
        </w:rPr>
        <w:t>2</w:t>
      </w:r>
      <w:r w:rsidRPr="008235B8">
        <w:rPr>
          <w:szCs w:val="24"/>
          <w:lang w:val="en-GB"/>
        </w:rPr>
        <w:t xml:space="preserve">) </w:t>
      </w:r>
      <w:r w:rsidRPr="00C8228B">
        <w:rPr>
          <w:szCs w:val="24"/>
          <w:lang w:val="en-GB"/>
        </w:rPr>
        <w:t>of the Treaty</w:t>
      </w:r>
      <w:r w:rsidRPr="00662B1B">
        <w:rPr>
          <w:szCs w:val="24"/>
          <w:lang w:val="en-GB"/>
        </w:rPr>
        <w:t xml:space="preserve"> on the Functioning of the European Union</w:t>
      </w:r>
    </w:p>
    <w:p w14:paraId="377C81C2" w14:textId="77777777" w:rsidR="00A36E60" w:rsidRPr="00FC0CF0" w:rsidRDefault="00A36E60" w:rsidP="00A36E60">
      <w:pPr>
        <w:shd w:val="clear" w:color="auto" w:fill="FFFFFF"/>
        <w:spacing w:after="100" w:afterAutospacing="1"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Civil Liberties, Justice and Home Affairs (LIBE)</w:t>
      </w:r>
    </w:p>
    <w:p w14:paraId="3E8ACA71" w14:textId="77777777" w:rsidR="00A36E60" w:rsidRDefault="00A36E60" w:rsidP="00A36E60">
      <w:pPr>
        <w:spacing w:before="100" w:beforeAutospacing="1" w:after="100" w:afterAutospacing="1"/>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p>
    <w:p w14:paraId="2D8680AF" w14:textId="77777777" w:rsidR="00BC0646" w:rsidRDefault="00BC0646">
      <w:pPr>
        <w:spacing w:after="200" w:line="276" w:lineRule="auto"/>
        <w:rPr>
          <w:b/>
          <w:lang w:val="en-GB"/>
        </w:rPr>
      </w:pPr>
      <w:r>
        <w:rPr>
          <w:b/>
          <w:lang w:val="en-GB"/>
        </w:rPr>
        <w:br w:type="page"/>
      </w:r>
    </w:p>
    <w:p w14:paraId="5F0F4ACF" w14:textId="77777777" w:rsidR="00A36E60" w:rsidRPr="00A36E60" w:rsidRDefault="00A36E60" w:rsidP="00A36E60">
      <w:pPr>
        <w:spacing w:after="240" w:line="240" w:lineRule="auto"/>
        <w:jc w:val="center"/>
        <w:rPr>
          <w:lang w:val="en-GB"/>
        </w:rPr>
      </w:pPr>
      <w:r w:rsidRPr="00A36E60">
        <w:rPr>
          <w:b/>
          <w:lang w:val="en-GB"/>
        </w:rPr>
        <w:t xml:space="preserve">SPECIAL LEGISLATIVE </w:t>
      </w:r>
      <w:r w:rsidRPr="00A36E60">
        <w:rPr>
          <w:b/>
          <w:caps/>
          <w:lang w:val="en-GB"/>
        </w:rPr>
        <w:t>procedure</w:t>
      </w:r>
      <w:r w:rsidRPr="00A36E60">
        <w:rPr>
          <w:b/>
          <w:lang w:val="en-GB"/>
        </w:rPr>
        <w:t xml:space="preserve"> – First reading</w:t>
      </w:r>
    </w:p>
    <w:p w14:paraId="68B5DD22" w14:textId="77777777" w:rsidR="00A36E60" w:rsidRPr="00A36E60" w:rsidRDefault="00A36E60" w:rsidP="00A36E60">
      <w:pPr>
        <w:spacing w:after="600"/>
        <w:jc w:val="center"/>
        <w:rPr>
          <w:b/>
          <w:bCs/>
          <w:szCs w:val="24"/>
          <w:shd w:val="clear" w:color="auto" w:fill="FFFFFF"/>
          <w:lang w:val="en-GB"/>
        </w:rPr>
      </w:pPr>
      <w:bookmarkStart w:id="5" w:name="FERNANDES"/>
      <w:r w:rsidRPr="00A36E60">
        <w:rPr>
          <w:b/>
          <w:bCs/>
          <w:szCs w:val="24"/>
          <w:lang w:val="en-GB"/>
        </w:rPr>
        <w:t xml:space="preserve">Follow up to the </w:t>
      </w:r>
      <w:r w:rsidRPr="00A36E60">
        <w:rPr>
          <w:b/>
          <w:lang w:val="en-GB"/>
        </w:rPr>
        <w:t xml:space="preserve">European Parliament legislative </w:t>
      </w:r>
      <w:r w:rsidRPr="00A36E60">
        <w:rPr>
          <w:b/>
          <w:szCs w:val="24"/>
          <w:lang w:val="en-GB"/>
        </w:rPr>
        <w:t xml:space="preserve">resolution </w:t>
      </w:r>
      <w:r w:rsidRPr="00A36E60">
        <w:rPr>
          <w:b/>
          <w:bCs/>
          <w:szCs w:val="24"/>
          <w:shd w:val="clear" w:color="auto" w:fill="FFFFFF"/>
          <w:lang w:val="en-GB"/>
        </w:rPr>
        <w:t>on the proposal for a Council regulation amending Regulation (EU, Euratom) No 609/2014 in order to enhance predictability for Member States and to clarify procedures for dispute resolution when making available the traditional, VAT and GNI based own resources</w:t>
      </w:r>
      <w:bookmarkEnd w:id="5"/>
    </w:p>
    <w:p w14:paraId="23F15DCF" w14:textId="77777777" w:rsidR="00A36E60" w:rsidRPr="00A36E60" w:rsidRDefault="00A36E60" w:rsidP="00661E82">
      <w:pPr>
        <w:spacing w:before="100" w:beforeAutospacing="1" w:after="100" w:afterAutospacing="1"/>
        <w:ind w:left="567" w:hanging="567"/>
        <w:jc w:val="both"/>
        <w:rPr>
          <w:szCs w:val="24"/>
        </w:rPr>
      </w:pPr>
      <w:r w:rsidRPr="00A36E60">
        <w:rPr>
          <w:b/>
        </w:rPr>
        <w:t>1.</w:t>
      </w:r>
      <w:r w:rsidRPr="00A36E60">
        <w:rPr>
          <w:b/>
        </w:rPr>
        <w:tab/>
        <w:t xml:space="preserve">Rapporteur: </w:t>
      </w:r>
      <w:r w:rsidRPr="00A36E60">
        <w:rPr>
          <w:color w:val="1E1E1F"/>
          <w:szCs w:val="24"/>
        </w:rPr>
        <w:t>José Manuel FERNANDES (EPP / PT), Valérie HAYER (Renew / FR)</w:t>
      </w:r>
    </w:p>
    <w:p w14:paraId="7DA89CB8" w14:textId="77777777" w:rsidR="00A36E60" w:rsidRPr="00A36E60" w:rsidRDefault="00A36E60" w:rsidP="00661E82">
      <w:pPr>
        <w:spacing w:before="100" w:beforeAutospacing="1" w:after="100" w:afterAutospacing="1"/>
        <w:ind w:left="567" w:hanging="567"/>
        <w:jc w:val="both"/>
        <w:rPr>
          <w:lang w:val="en-GB"/>
        </w:rPr>
      </w:pPr>
      <w:r w:rsidRPr="00A36E60">
        <w:rPr>
          <w:b/>
          <w:lang w:val="en-GB"/>
        </w:rPr>
        <w:t>2.</w:t>
      </w:r>
      <w:r w:rsidRPr="00A36E60">
        <w:rPr>
          <w:b/>
          <w:lang w:val="en-GB"/>
        </w:rPr>
        <w:tab/>
        <w:t>Reference numbers:</w:t>
      </w:r>
      <w:r w:rsidRPr="00A36E60">
        <w:rPr>
          <w:lang w:val="en-GB"/>
        </w:rPr>
        <w:t xml:space="preserve"> 2021/0161 (NLE) / A9-0347/2021 / P9_TA-PROV(2021)0494</w:t>
      </w:r>
    </w:p>
    <w:p w14:paraId="48914CD5" w14:textId="77777777" w:rsidR="00A36E60" w:rsidRPr="00A36E60" w:rsidRDefault="00A36E60" w:rsidP="00661E82">
      <w:pPr>
        <w:spacing w:before="100" w:beforeAutospacing="1" w:after="100" w:afterAutospacing="1"/>
        <w:ind w:left="567" w:hanging="567"/>
        <w:rPr>
          <w:lang w:val="en-GB"/>
        </w:rPr>
      </w:pPr>
      <w:r w:rsidRPr="00A36E60">
        <w:rPr>
          <w:b/>
          <w:lang w:val="en-GB"/>
        </w:rPr>
        <w:t>3.</w:t>
      </w:r>
      <w:r w:rsidRPr="00A36E60">
        <w:rPr>
          <w:b/>
          <w:lang w:val="en-GB"/>
        </w:rPr>
        <w:tab/>
        <w:t xml:space="preserve">Date of adoption of the resolution: </w:t>
      </w:r>
      <w:r w:rsidRPr="00A36E60">
        <w:rPr>
          <w:lang w:val="en-GB"/>
        </w:rPr>
        <w:t>14 December 2021</w:t>
      </w:r>
    </w:p>
    <w:p w14:paraId="093D6950" w14:textId="77777777" w:rsidR="00A36E60" w:rsidRPr="00A36E60" w:rsidRDefault="00A36E60" w:rsidP="00661E82">
      <w:pPr>
        <w:spacing w:before="100" w:beforeAutospacing="1" w:after="100" w:afterAutospacing="1"/>
        <w:ind w:left="567" w:hanging="567"/>
        <w:jc w:val="both"/>
        <w:rPr>
          <w:lang w:val="en-GB"/>
        </w:rPr>
      </w:pPr>
      <w:r w:rsidRPr="00A36E60">
        <w:rPr>
          <w:b/>
          <w:lang w:val="en-GB"/>
        </w:rPr>
        <w:t>4.</w:t>
      </w:r>
      <w:r w:rsidRPr="00A36E60">
        <w:rPr>
          <w:b/>
          <w:lang w:val="en-GB"/>
        </w:rPr>
        <w:tab/>
        <w:t xml:space="preserve">Legal basis: </w:t>
      </w:r>
      <w:r w:rsidRPr="00A36E60">
        <w:rPr>
          <w:szCs w:val="24"/>
          <w:lang w:val="en-GB"/>
        </w:rPr>
        <w:t>Article 322(2) of the Treaty on the Functioning of the European Union and Article 106a of the Treaty establishing the European Atomic Energy Community</w:t>
      </w:r>
    </w:p>
    <w:p w14:paraId="13FDE50D" w14:textId="77777777" w:rsidR="00A36E60" w:rsidRPr="00A36E60" w:rsidRDefault="00A36E60" w:rsidP="00661E82">
      <w:pPr>
        <w:shd w:val="clear" w:color="auto" w:fill="FFFFFF"/>
        <w:spacing w:before="100" w:beforeAutospacing="1" w:after="100" w:afterAutospacing="1" w:line="288" w:lineRule="atLeast"/>
        <w:ind w:left="567" w:hanging="567"/>
        <w:jc w:val="both"/>
        <w:textAlignment w:val="center"/>
        <w:rPr>
          <w:i/>
          <w:lang w:val="en-GB"/>
        </w:rPr>
      </w:pPr>
      <w:r w:rsidRPr="00A36E60">
        <w:rPr>
          <w:b/>
          <w:lang w:val="en-GB"/>
        </w:rPr>
        <w:t>5.</w:t>
      </w:r>
      <w:r w:rsidRPr="00A36E60">
        <w:rPr>
          <w:b/>
          <w:lang w:val="en-GB"/>
        </w:rPr>
        <w:tab/>
        <w:t xml:space="preserve">Competent Parliamentary Committee: </w:t>
      </w:r>
      <w:r w:rsidRPr="00A36E60">
        <w:rPr>
          <w:lang w:val="en-GB"/>
        </w:rPr>
        <w:t>Committee on Budgets (BUDG)</w:t>
      </w:r>
    </w:p>
    <w:p w14:paraId="0E48E60A" w14:textId="77777777" w:rsidR="00A36E60" w:rsidRPr="00A36E60" w:rsidRDefault="00A36E60" w:rsidP="00661E82">
      <w:pPr>
        <w:spacing w:before="100" w:beforeAutospacing="1" w:after="100" w:afterAutospacing="1"/>
        <w:ind w:left="567" w:hanging="567"/>
        <w:jc w:val="both"/>
        <w:rPr>
          <w:lang w:val="en-GB"/>
        </w:rPr>
      </w:pPr>
      <w:r w:rsidRPr="00A36E60">
        <w:rPr>
          <w:b/>
          <w:lang w:val="en-GB"/>
        </w:rPr>
        <w:t>6.</w:t>
      </w:r>
      <w:r w:rsidRPr="00A36E60">
        <w:rPr>
          <w:b/>
          <w:lang w:val="en-GB"/>
        </w:rPr>
        <w:tab/>
        <w:t xml:space="preserve">Commission's position: </w:t>
      </w:r>
      <w:r w:rsidRPr="00A36E60">
        <w:rPr>
          <w:lang w:val="en-GB"/>
        </w:rPr>
        <w:t>rejects all amendments</w:t>
      </w:r>
    </w:p>
    <w:p w14:paraId="2D842D7D" w14:textId="56C0AFA8" w:rsidR="00891464" w:rsidRPr="0069387B" w:rsidRDefault="00891464" w:rsidP="00891464">
      <w:pPr>
        <w:spacing w:after="120"/>
        <w:ind w:left="2"/>
        <w:jc w:val="both"/>
        <w:rPr>
          <w:lang w:val="en-US"/>
        </w:rPr>
      </w:pPr>
      <w:r w:rsidRPr="0069387B">
        <w:rPr>
          <w:lang w:val="en-US"/>
        </w:rPr>
        <w:t xml:space="preserve">The European Parliament supports the Commission’s efforts in maintaining a </w:t>
      </w:r>
      <w:r>
        <w:rPr>
          <w:lang w:val="en-US"/>
        </w:rPr>
        <w:t xml:space="preserve">predictable and </w:t>
      </w:r>
      <w:r w:rsidRPr="0069387B">
        <w:rPr>
          <w:lang w:val="en-US"/>
        </w:rPr>
        <w:t>solid system of making own resources available. It</w:t>
      </w:r>
      <w:r>
        <w:rPr>
          <w:lang w:val="en-US"/>
        </w:rPr>
        <w:t xml:space="preserve"> proposes however two specific amendments that the Commission cannot accept.</w:t>
      </w:r>
    </w:p>
    <w:p w14:paraId="42D1DEF7" w14:textId="77777777" w:rsidR="00891464" w:rsidRDefault="00891464" w:rsidP="00891464">
      <w:pPr>
        <w:pStyle w:val="ListParagraph"/>
        <w:numPr>
          <w:ilvl w:val="0"/>
          <w:numId w:val="46"/>
        </w:numPr>
        <w:spacing w:after="120" w:line="240" w:lineRule="auto"/>
        <w:contextualSpacing w:val="0"/>
        <w:jc w:val="both"/>
        <w:rPr>
          <w:b/>
          <w:szCs w:val="24"/>
          <w:lang w:val="en-US"/>
        </w:rPr>
      </w:pPr>
      <w:r w:rsidRPr="003E797B">
        <w:rPr>
          <w:b/>
          <w:szCs w:val="24"/>
          <w:lang w:val="en-US"/>
        </w:rPr>
        <w:t>Amendment deleting the extension of the capping of the interest to all cases not yet communicated to Member States</w:t>
      </w:r>
    </w:p>
    <w:p w14:paraId="0863794F" w14:textId="3DDA1EE4" w:rsidR="00891464" w:rsidRDefault="00891464" w:rsidP="00891464">
      <w:pPr>
        <w:pStyle w:val="ListParagraph"/>
        <w:spacing w:after="120"/>
        <w:contextualSpacing w:val="0"/>
        <w:jc w:val="both"/>
        <w:rPr>
          <w:szCs w:val="24"/>
          <w:lang w:val="en-US"/>
        </w:rPr>
      </w:pPr>
      <w:r>
        <w:rPr>
          <w:szCs w:val="24"/>
          <w:lang w:val="en-US"/>
        </w:rPr>
        <w:t>The Commission shares the European Parliament’s view that the interest rate regime should constitute the incentive for protection of the financial interest of the Union and for the timely making available of own resources. The aim of the proposal to extend the capping is solely to avoid extremely high interest demands in very old cases where the interest is a multiple time higher than the principal amount. The Commission would like to reassure the European Parliament that the scope of the proposed extension by no means undermines the current interest rate regime and will not affect the proper functioning of the own resources system.</w:t>
      </w:r>
    </w:p>
    <w:p w14:paraId="6B317B6D" w14:textId="176EF5B7" w:rsidR="00891464" w:rsidRDefault="00891464" w:rsidP="00891464">
      <w:pPr>
        <w:pStyle w:val="ListParagraph"/>
        <w:numPr>
          <w:ilvl w:val="0"/>
          <w:numId w:val="46"/>
        </w:numPr>
        <w:spacing w:after="120" w:line="240" w:lineRule="auto"/>
        <w:contextualSpacing w:val="0"/>
        <w:jc w:val="both"/>
        <w:rPr>
          <w:b/>
          <w:szCs w:val="24"/>
          <w:lang w:val="en-US"/>
        </w:rPr>
      </w:pPr>
      <w:r>
        <w:rPr>
          <w:b/>
          <w:szCs w:val="24"/>
          <w:lang w:val="en-US"/>
        </w:rPr>
        <w:t>Amendment deleting the introduction of the review procedure for the cases of disagreement between Member States and the Commission</w:t>
      </w:r>
    </w:p>
    <w:p w14:paraId="6458F97C" w14:textId="68E74D4E" w:rsidR="00891464" w:rsidRPr="004C60AA" w:rsidRDefault="00891464" w:rsidP="00891464">
      <w:pPr>
        <w:pStyle w:val="ListParagraph"/>
        <w:spacing w:after="120"/>
        <w:jc w:val="both"/>
        <w:rPr>
          <w:b/>
          <w:szCs w:val="24"/>
          <w:lang w:val="en-US"/>
        </w:rPr>
      </w:pPr>
      <w:r w:rsidRPr="00C63068">
        <w:rPr>
          <w:szCs w:val="24"/>
          <w:lang w:val="en-US"/>
        </w:rPr>
        <w:t xml:space="preserve">The Commission agrees with the European Parliament’s view that the existing own resources legislation already affords Member States effective rights of defense. However, in the interest of </w:t>
      </w:r>
      <w:r>
        <w:rPr>
          <w:szCs w:val="24"/>
          <w:lang w:val="en-US"/>
        </w:rPr>
        <w:t xml:space="preserve">clarity and </w:t>
      </w:r>
      <w:r w:rsidRPr="00C63068">
        <w:rPr>
          <w:szCs w:val="24"/>
          <w:lang w:val="en-US"/>
        </w:rPr>
        <w:t xml:space="preserve">transparency, the Commission proposes to codify the existing procedure for the constructive dialogue and exchanges between the Commission and Member States in case of disputes. This procedure is </w:t>
      </w:r>
      <w:r>
        <w:rPr>
          <w:szCs w:val="24"/>
          <w:lang w:val="en-US"/>
        </w:rPr>
        <w:t xml:space="preserve">introduced as review </w:t>
      </w:r>
      <w:r w:rsidRPr="004C60AA">
        <w:rPr>
          <w:szCs w:val="24"/>
          <w:lang w:val="en-US"/>
        </w:rPr>
        <w:t>procedure</w:t>
      </w:r>
      <w:r>
        <w:rPr>
          <w:szCs w:val="24"/>
          <w:lang w:val="en-US"/>
        </w:rPr>
        <w:t xml:space="preserve"> and the Commission is confident that this review procedure will not affect the proper functioning of the own resource system. </w:t>
      </w:r>
      <w:r w:rsidRPr="004C60AA">
        <w:rPr>
          <w:szCs w:val="24"/>
          <w:bdr w:val="none" w:sz="0" w:space="0" w:color="auto" w:frame="1"/>
          <w:lang w:val="en-US"/>
        </w:rPr>
        <w:t>The Commission can therefore not agree to delete the proposed review procedure, which is a tool that is most important to Member States</w:t>
      </w:r>
      <w:r>
        <w:rPr>
          <w:bdr w:val="none" w:sz="0" w:space="0" w:color="auto" w:frame="1"/>
          <w:lang w:val="en-US"/>
        </w:rPr>
        <w:t>.</w:t>
      </w:r>
    </w:p>
    <w:p w14:paraId="0BCBF38E" w14:textId="74A8CD88" w:rsidR="00D7781B" w:rsidRDefault="00D7781B">
      <w:pPr>
        <w:spacing w:after="200" w:line="276" w:lineRule="auto"/>
        <w:rPr>
          <w:szCs w:val="24"/>
          <w:lang w:val="en-GB"/>
        </w:rPr>
      </w:pPr>
      <w:r>
        <w:rPr>
          <w:szCs w:val="24"/>
          <w:lang w:val="en-GB"/>
        </w:rPr>
        <w:br w:type="page"/>
      </w:r>
    </w:p>
    <w:p w14:paraId="0AE1D884" w14:textId="77777777" w:rsidR="00B567DF" w:rsidRPr="00D7781B" w:rsidRDefault="00B567DF" w:rsidP="00B567DF">
      <w:pPr>
        <w:spacing w:after="240" w:line="276" w:lineRule="auto"/>
        <w:ind w:left="567" w:hanging="567"/>
        <w:rPr>
          <w:szCs w:val="24"/>
          <w:lang w:val="en-GB"/>
        </w:rPr>
      </w:pPr>
    </w:p>
    <w:p w14:paraId="4F05E7F2" w14:textId="77777777" w:rsidR="00C10B8E" w:rsidRPr="00135201" w:rsidRDefault="00C10B8E" w:rsidP="00C10B8E">
      <w:pPr>
        <w:spacing w:after="200" w:line="276" w:lineRule="auto"/>
        <w:jc w:val="center"/>
        <w:rPr>
          <w:szCs w:val="24"/>
          <w:lang w:val="en-IE"/>
        </w:rPr>
      </w:pPr>
    </w:p>
    <w:p w14:paraId="7AAD7343" w14:textId="77777777" w:rsidR="00B71FF0" w:rsidRPr="00EE64E6" w:rsidRDefault="00B71FF0" w:rsidP="00B71FF0">
      <w:pPr>
        <w:spacing w:before="5040" w:line="240" w:lineRule="auto"/>
        <w:jc w:val="center"/>
        <w:rPr>
          <w:b/>
          <w:sz w:val="48"/>
          <w:lang w:val="en-GB"/>
        </w:rPr>
      </w:pPr>
      <w:bookmarkStart w:id="6" w:name="PARTTWO"/>
      <w:r w:rsidRPr="00EE64E6">
        <w:rPr>
          <w:b/>
          <w:sz w:val="48"/>
          <w:lang w:val="en-GB"/>
        </w:rPr>
        <w:t>Part Two</w:t>
      </w:r>
      <w:r w:rsidRPr="00EE64E6">
        <w:rPr>
          <w:lang w:val="en-GB"/>
        </w:rPr>
        <w:br/>
      </w:r>
      <w:r w:rsidRPr="00EE64E6">
        <w:rPr>
          <w:b/>
          <w:sz w:val="48"/>
          <w:lang w:val="en-GB"/>
        </w:rPr>
        <w:t>Non-legislative resolutions</w:t>
      </w:r>
    </w:p>
    <w:bookmarkEnd w:id="6"/>
    <w:p w14:paraId="51B4AB06" w14:textId="77777777" w:rsidR="007A1930" w:rsidRDefault="007A1930" w:rsidP="00B71FF0">
      <w:pPr>
        <w:spacing w:after="600" w:line="240" w:lineRule="auto"/>
        <w:jc w:val="center"/>
        <w:rPr>
          <w:lang w:val="en-GB"/>
        </w:rPr>
      </w:pPr>
    </w:p>
    <w:p w14:paraId="6B2BC70D" w14:textId="785CC89D"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t xml:space="preserve">THE COMMISSION DOES NOT INTEND TO RESPOND FORMALLY TO THE FOLLOWING NON-LEGISLATIVE RESOLUTIONS, ADOPTED BY THE </w:t>
      </w:r>
      <w:r w:rsidR="008600BB">
        <w:rPr>
          <w:b/>
          <w:sz w:val="22"/>
          <w:lang w:val="en-GB"/>
        </w:rPr>
        <w:br/>
      </w:r>
      <w:r w:rsidRPr="00EE64E6">
        <w:rPr>
          <w:b/>
          <w:sz w:val="22"/>
          <w:lang w:val="en-GB"/>
        </w:rPr>
        <w:t xml:space="preserve">EUROPEAN </w:t>
      </w:r>
      <w:r w:rsidRPr="00C44E52">
        <w:rPr>
          <w:b/>
          <w:sz w:val="22"/>
          <w:lang w:val="en-GB"/>
        </w:rPr>
        <w:t xml:space="preserve">PARLIAMENT DURING THE </w:t>
      </w:r>
      <w:r w:rsidR="00E72582">
        <w:rPr>
          <w:b/>
          <w:sz w:val="22"/>
          <w:lang w:val="en-GB"/>
        </w:rPr>
        <w:t>DECEMBER 2021</w:t>
      </w:r>
      <w:r w:rsidR="00E72582" w:rsidRPr="00EE64E6">
        <w:rPr>
          <w:b/>
          <w:sz w:val="22"/>
          <w:lang w:val="en-GB"/>
        </w:rPr>
        <w:t xml:space="preserve"> </w:t>
      </w:r>
      <w:r w:rsidRPr="00C44E52">
        <w:rPr>
          <w:b/>
          <w:sz w:val="22"/>
          <w:lang w:val="en-GB"/>
        </w:rPr>
        <w:t>PART-SESSION</w:t>
      </w:r>
    </w:p>
    <w:p w14:paraId="6213BF62" w14:textId="38B4E55C" w:rsidR="00E0222D" w:rsidRDefault="00E0222D" w:rsidP="000E0830">
      <w:pPr>
        <w:pStyle w:val="ListParagraph"/>
        <w:numPr>
          <w:ilvl w:val="0"/>
          <w:numId w:val="38"/>
        </w:numPr>
        <w:spacing w:line="240" w:lineRule="auto"/>
        <w:ind w:left="360"/>
        <w:jc w:val="both"/>
        <w:rPr>
          <w:lang w:val="en-US"/>
        </w:rPr>
      </w:pPr>
      <w:r>
        <w:rPr>
          <w:noProof/>
          <w:lang w:val="en-US"/>
        </w:rPr>
        <w:t>Implementation of the Energy Performance of</w:t>
      </w:r>
      <w:r w:rsidR="00FD5493">
        <w:rPr>
          <w:noProof/>
          <w:lang w:val="en-US"/>
        </w:rPr>
        <w:t xml:space="preserve"> Buildings Directive (2021/2077 </w:t>
      </w:r>
      <w:r>
        <w:rPr>
          <w:noProof/>
          <w:lang w:val="en-US"/>
        </w:rPr>
        <w:t>(INI))</w:t>
      </w:r>
    </w:p>
    <w:p w14:paraId="2AA20ED6" w14:textId="450A149A" w:rsidR="00E0222D" w:rsidRPr="005B226C" w:rsidRDefault="00E0222D" w:rsidP="000E0830">
      <w:pPr>
        <w:ind w:left="720" w:hanging="360"/>
        <w:rPr>
          <w:lang w:val="en-US"/>
        </w:rPr>
      </w:pPr>
      <w:r w:rsidRPr="005B226C">
        <w:rPr>
          <w:lang w:val="en-US"/>
        </w:rPr>
        <w:t xml:space="preserve">EP: </w:t>
      </w:r>
      <w:r w:rsidRPr="005B226C">
        <w:rPr>
          <w:noProof/>
          <w:lang w:val="en-US"/>
        </w:rPr>
        <w:t>A9-0321/2021</w:t>
      </w:r>
    </w:p>
    <w:p w14:paraId="261FE15D" w14:textId="77777777" w:rsidR="00E0222D" w:rsidRPr="005B226C" w:rsidRDefault="00E0222D" w:rsidP="000E0830">
      <w:pPr>
        <w:ind w:left="720" w:hanging="360"/>
        <w:rPr>
          <w:lang w:val="en-US"/>
        </w:rPr>
      </w:pPr>
      <w:r w:rsidRPr="005B226C">
        <w:rPr>
          <w:lang w:val="en-US"/>
        </w:rPr>
        <w:t xml:space="preserve">Rapporteur: </w:t>
      </w:r>
      <w:r w:rsidRPr="005B226C">
        <w:rPr>
          <w:noProof/>
          <w:lang w:val="en-US"/>
        </w:rPr>
        <w:t>Seán KELLY</w:t>
      </w:r>
    </w:p>
    <w:p w14:paraId="30157A6A" w14:textId="77777777" w:rsidR="00E0222D" w:rsidRDefault="00E0222D" w:rsidP="000E0830">
      <w:pPr>
        <w:ind w:left="720" w:hanging="360"/>
        <w:rPr>
          <w:lang w:val="en-US"/>
        </w:rPr>
      </w:pPr>
      <w:r>
        <w:rPr>
          <w:lang w:val="en-US"/>
        </w:rPr>
        <w:t xml:space="preserve">Date: </w:t>
      </w:r>
      <w:r>
        <w:rPr>
          <w:noProof/>
          <w:lang w:val="en-US"/>
        </w:rPr>
        <w:t>15-12-2021</w:t>
      </w:r>
    </w:p>
    <w:p w14:paraId="50BC3A55" w14:textId="62331F0E" w:rsidR="00E0222D" w:rsidRDefault="00E0222D" w:rsidP="000E0830">
      <w:pPr>
        <w:spacing w:after="120"/>
        <w:ind w:left="720" w:hanging="360"/>
        <w:jc w:val="both"/>
        <w:rPr>
          <w:bCs/>
          <w:highlight w:val="yellow"/>
          <w:lang w:val="en-GB"/>
        </w:rPr>
      </w:pPr>
      <w:r>
        <w:rPr>
          <w:lang w:val="en-US"/>
        </w:rPr>
        <w:t xml:space="preserve">Competence: </w:t>
      </w:r>
      <w:r>
        <w:rPr>
          <w:noProof/>
          <w:lang w:val="en-US"/>
        </w:rPr>
        <w:t>Kadri SIMSON, Frans TIMMERMANS</w:t>
      </w:r>
    </w:p>
    <w:p w14:paraId="509E56A2" w14:textId="632F8D9F" w:rsidR="00041D04" w:rsidRDefault="00041D04" w:rsidP="00E0222D">
      <w:pPr>
        <w:spacing w:after="240"/>
        <w:jc w:val="both"/>
        <w:rPr>
          <w:lang w:val="en-GB" w:eastAsia="fr-BE"/>
        </w:rPr>
      </w:pPr>
      <w:r w:rsidRPr="00E0222D">
        <w:rPr>
          <w:bCs/>
          <w:lang w:val="en-GB"/>
        </w:rPr>
        <w:t xml:space="preserve">Reason: </w:t>
      </w:r>
      <w:r w:rsidRPr="00E0222D">
        <w:rPr>
          <w:lang w:val="en-GB" w:eastAsia="fr-BE"/>
        </w:rPr>
        <w:t xml:space="preserve">The Commission will not be responding formally to the requests addressed in the resolution as they were comprehensively addressed in plenary by Commissioner </w:t>
      </w:r>
      <w:r w:rsidR="00CC3615" w:rsidRPr="00CC3615">
        <w:rPr>
          <w:szCs w:val="24"/>
          <w:lang w:val="en-GB" w:eastAsia="en-US"/>
        </w:rPr>
        <w:t>KYRIAKIDES</w:t>
      </w:r>
      <w:r w:rsidR="00CC3615">
        <w:rPr>
          <w:lang w:val="en-GB" w:eastAsia="fr-BE"/>
        </w:rPr>
        <w:t xml:space="preserve"> on behalf of Commissioner SIMSON</w:t>
      </w:r>
      <w:r w:rsidR="00E0222D">
        <w:rPr>
          <w:lang w:val="en-GB" w:eastAsia="fr-BE"/>
        </w:rPr>
        <w:t xml:space="preserve">. Moreover, the Commission adopted on </w:t>
      </w:r>
      <w:r w:rsidR="00CC3615">
        <w:rPr>
          <w:lang w:val="en-GB" w:eastAsia="fr-BE"/>
        </w:rPr>
        <w:t xml:space="preserve">6 December a </w:t>
      </w:r>
      <w:r w:rsidR="00CC3615" w:rsidRPr="00E0222D">
        <w:rPr>
          <w:lang w:val="en-GB" w:eastAsia="fr-BE"/>
        </w:rPr>
        <w:t>Staff Working Document on the Long Term Renovation Strategies</w:t>
      </w:r>
      <w:r w:rsidR="00CC3615">
        <w:rPr>
          <w:lang w:val="en-GB" w:eastAsia="fr-BE"/>
        </w:rPr>
        <w:t xml:space="preserve"> (SWD(2021)365) and on </w:t>
      </w:r>
      <w:r w:rsidR="00E0222D">
        <w:rPr>
          <w:lang w:val="en-GB" w:eastAsia="fr-BE"/>
        </w:rPr>
        <w:t>15 December a p</w:t>
      </w:r>
      <w:r w:rsidR="00E0222D" w:rsidRPr="00E0222D">
        <w:rPr>
          <w:lang w:val="en-GB" w:eastAsia="fr-BE"/>
        </w:rPr>
        <w:t xml:space="preserve">roposal for a </w:t>
      </w:r>
      <w:r w:rsidR="00E0222D">
        <w:rPr>
          <w:lang w:val="en-GB" w:eastAsia="fr-BE"/>
        </w:rPr>
        <w:t>directive of the E</w:t>
      </w:r>
      <w:r w:rsidR="00E0222D" w:rsidRPr="00E0222D">
        <w:rPr>
          <w:lang w:val="en-GB" w:eastAsia="fr-BE"/>
        </w:rPr>
        <w:t>uropean</w:t>
      </w:r>
      <w:r w:rsidR="00E0222D">
        <w:rPr>
          <w:lang w:val="en-GB" w:eastAsia="fr-BE"/>
        </w:rPr>
        <w:t xml:space="preserve"> Parliament and of the C</w:t>
      </w:r>
      <w:r w:rsidR="00E0222D" w:rsidRPr="00E0222D">
        <w:rPr>
          <w:lang w:val="en-GB" w:eastAsia="fr-BE"/>
        </w:rPr>
        <w:t>ouncil on the energy performance of buildings (recast)</w:t>
      </w:r>
      <w:r w:rsidR="00E0222D">
        <w:rPr>
          <w:lang w:val="en-GB" w:eastAsia="fr-BE"/>
        </w:rPr>
        <w:t>.</w:t>
      </w:r>
    </w:p>
    <w:p w14:paraId="5E32E48A" w14:textId="1F2109E3" w:rsidR="0085096A" w:rsidRDefault="0085096A" w:rsidP="000E0830">
      <w:pPr>
        <w:pStyle w:val="ListParagraph"/>
        <w:numPr>
          <w:ilvl w:val="0"/>
          <w:numId w:val="38"/>
        </w:numPr>
        <w:spacing w:line="240" w:lineRule="auto"/>
        <w:ind w:left="360"/>
        <w:jc w:val="both"/>
        <w:rPr>
          <w:lang w:val="en-US"/>
        </w:rPr>
      </w:pPr>
      <w:r>
        <w:rPr>
          <w:noProof/>
          <w:lang w:val="en-US"/>
        </w:rPr>
        <w:t xml:space="preserve">Equality between women and men in the European Union in 2018-2020 </w:t>
      </w:r>
      <w:r w:rsidR="00D22ECE">
        <w:rPr>
          <w:noProof/>
          <w:lang w:val="en-US"/>
        </w:rPr>
        <w:t>(</w:t>
      </w:r>
      <w:r>
        <w:rPr>
          <w:noProof/>
          <w:lang w:val="en-US"/>
        </w:rPr>
        <w:t>2021/2020 (INI))</w:t>
      </w:r>
    </w:p>
    <w:p w14:paraId="617678AB" w14:textId="77777777" w:rsidR="0085096A" w:rsidRPr="00B35918" w:rsidRDefault="0085096A" w:rsidP="000E0830">
      <w:pPr>
        <w:ind w:left="360"/>
        <w:rPr>
          <w:lang w:val="en-GB"/>
        </w:rPr>
      </w:pPr>
      <w:r w:rsidRPr="00B35918">
        <w:rPr>
          <w:lang w:val="en-GB"/>
        </w:rPr>
        <w:t xml:space="preserve">EP: </w:t>
      </w:r>
      <w:r w:rsidRPr="00B35918">
        <w:rPr>
          <w:noProof/>
          <w:lang w:val="en-GB"/>
        </w:rPr>
        <w:t>A9-0315/2021</w:t>
      </w:r>
    </w:p>
    <w:p w14:paraId="19001F9A" w14:textId="77777777" w:rsidR="0085096A" w:rsidRPr="00B35918" w:rsidRDefault="0085096A" w:rsidP="000E0830">
      <w:pPr>
        <w:ind w:left="360"/>
        <w:rPr>
          <w:lang w:val="en-GB"/>
        </w:rPr>
      </w:pPr>
      <w:r w:rsidRPr="00B35918">
        <w:rPr>
          <w:lang w:val="en-GB"/>
        </w:rPr>
        <w:t xml:space="preserve">Rapporteur: </w:t>
      </w:r>
      <w:r w:rsidRPr="00B35918">
        <w:rPr>
          <w:noProof/>
          <w:lang w:val="en-GB"/>
        </w:rPr>
        <w:t>Sandra PEREIRA</w:t>
      </w:r>
    </w:p>
    <w:p w14:paraId="34C90481" w14:textId="77777777" w:rsidR="0085096A" w:rsidRPr="00B35918" w:rsidRDefault="0085096A" w:rsidP="000E0830">
      <w:pPr>
        <w:ind w:left="360"/>
        <w:rPr>
          <w:lang w:val="en-GB"/>
        </w:rPr>
      </w:pPr>
      <w:r w:rsidRPr="00B35918">
        <w:rPr>
          <w:lang w:val="en-GB"/>
        </w:rPr>
        <w:t xml:space="preserve">Date: </w:t>
      </w:r>
      <w:r w:rsidRPr="00B35918">
        <w:rPr>
          <w:noProof/>
          <w:lang w:val="en-GB"/>
        </w:rPr>
        <w:t>15-12-2021</w:t>
      </w:r>
    </w:p>
    <w:p w14:paraId="4212E74D" w14:textId="557ACE91" w:rsidR="0085096A" w:rsidRPr="00CC3615" w:rsidRDefault="0085096A" w:rsidP="000E0830">
      <w:pPr>
        <w:spacing w:after="120"/>
        <w:ind w:firstLine="350"/>
        <w:jc w:val="both"/>
        <w:rPr>
          <w:bCs/>
          <w:highlight w:val="yellow"/>
          <w:lang w:val="en-GB"/>
        </w:rPr>
      </w:pPr>
      <w:r w:rsidRPr="00CC3615">
        <w:rPr>
          <w:lang w:val="en-GB"/>
        </w:rPr>
        <w:t xml:space="preserve">Competence: </w:t>
      </w:r>
      <w:r w:rsidRPr="00CC3615">
        <w:rPr>
          <w:noProof/>
          <w:lang w:val="en-GB"/>
        </w:rPr>
        <w:t>Helena DALLI, Věra JOUROVÁ</w:t>
      </w:r>
    </w:p>
    <w:p w14:paraId="004DA427" w14:textId="79725950" w:rsidR="00C77CA8" w:rsidRPr="0085096A" w:rsidRDefault="00C77CA8" w:rsidP="0085096A">
      <w:pPr>
        <w:spacing w:after="240"/>
        <w:jc w:val="both"/>
        <w:rPr>
          <w:lang w:val="en-GB" w:eastAsia="fr-BE"/>
        </w:rPr>
      </w:pPr>
      <w:r w:rsidRPr="0085096A">
        <w:rPr>
          <w:bCs/>
          <w:lang w:val="en-GB"/>
        </w:rPr>
        <w:t xml:space="preserve">Reason: </w:t>
      </w:r>
      <w:r w:rsidRPr="0085096A">
        <w:rPr>
          <w:lang w:val="en-GB" w:eastAsia="fr-BE"/>
        </w:rPr>
        <w:t>The Commission will not be responding formally to the requests addressed in the resolution as the</w:t>
      </w:r>
      <w:r w:rsidR="0085096A" w:rsidRPr="0085096A">
        <w:rPr>
          <w:lang w:val="en-GB" w:eastAsia="fr-BE"/>
        </w:rPr>
        <w:t xml:space="preserve"> most important of them</w:t>
      </w:r>
      <w:r w:rsidRPr="0085096A">
        <w:rPr>
          <w:lang w:val="en-GB" w:eastAsia="fr-BE"/>
        </w:rPr>
        <w:t xml:space="preserve"> were addressed in plenary by Commissioner </w:t>
      </w:r>
      <w:r w:rsidR="0085096A" w:rsidRPr="0085096A">
        <w:rPr>
          <w:lang w:val="en-GB"/>
        </w:rPr>
        <w:t>DALLI</w:t>
      </w:r>
      <w:r w:rsidRPr="0085096A">
        <w:rPr>
          <w:lang w:val="en-GB" w:eastAsia="fr-BE"/>
        </w:rPr>
        <w:t>.</w:t>
      </w:r>
    </w:p>
    <w:p w14:paraId="56124909" w14:textId="77777777" w:rsidR="00B02D4D" w:rsidRDefault="00B02D4D" w:rsidP="000E0830">
      <w:pPr>
        <w:pStyle w:val="ListParagraph"/>
        <w:numPr>
          <w:ilvl w:val="0"/>
          <w:numId w:val="45"/>
        </w:numPr>
        <w:spacing w:line="240" w:lineRule="auto"/>
        <w:ind w:left="360"/>
        <w:jc w:val="both"/>
        <w:rPr>
          <w:lang w:val="en-US"/>
        </w:rPr>
      </w:pPr>
      <w:r>
        <w:rPr>
          <w:lang w:val="en-US"/>
        </w:rPr>
        <w:t>Challenges and prospects for multilateral weapons of mass destruction arms control and disarmament regimes (2020/2001 (INI))</w:t>
      </w:r>
    </w:p>
    <w:p w14:paraId="1688CF44" w14:textId="77777777" w:rsidR="00B02D4D" w:rsidRDefault="00B02D4D" w:rsidP="000E0830">
      <w:pPr>
        <w:ind w:left="360"/>
        <w:jc w:val="both"/>
      </w:pPr>
      <w:r>
        <w:t>EP: A9-0324/2021</w:t>
      </w:r>
    </w:p>
    <w:p w14:paraId="198413E2" w14:textId="77777777" w:rsidR="00B02D4D" w:rsidRDefault="00B02D4D" w:rsidP="000E0830">
      <w:pPr>
        <w:ind w:left="360"/>
        <w:jc w:val="both"/>
      </w:pPr>
      <w:r>
        <w:t>Rapporteur: Sven MIKSER</w:t>
      </w:r>
    </w:p>
    <w:p w14:paraId="7AFB9712" w14:textId="77777777" w:rsidR="00B02D4D" w:rsidRDefault="00B02D4D" w:rsidP="000E0830">
      <w:pPr>
        <w:ind w:left="360"/>
        <w:jc w:val="both"/>
      </w:pPr>
      <w:r>
        <w:t>Date: 15-12-2021</w:t>
      </w:r>
    </w:p>
    <w:p w14:paraId="20DF82CE" w14:textId="77777777" w:rsidR="00B02D4D" w:rsidRDefault="00B02D4D" w:rsidP="000E0830">
      <w:pPr>
        <w:spacing w:after="120"/>
        <w:ind w:firstLine="364"/>
        <w:jc w:val="both"/>
        <w:rPr>
          <w:lang w:val="en-US"/>
        </w:rPr>
      </w:pPr>
      <w:r>
        <w:rPr>
          <w:lang w:val="en-US"/>
        </w:rPr>
        <w:t>Competence: Josep BORRELL FONTELLES</w:t>
      </w:r>
    </w:p>
    <w:p w14:paraId="39A9D6A7" w14:textId="075A21CA" w:rsidR="00B02D4D" w:rsidRDefault="00B02D4D" w:rsidP="00B02D4D">
      <w:pPr>
        <w:spacing w:after="240"/>
        <w:jc w:val="both"/>
        <w:rPr>
          <w:szCs w:val="24"/>
          <w:lang w:val="en-GB"/>
        </w:rPr>
      </w:pPr>
      <w:r w:rsidRPr="00B02D4D">
        <w:rPr>
          <w:szCs w:val="24"/>
          <w:lang w:val="en-GB" w:eastAsia="fr-BE"/>
        </w:rPr>
        <w:t xml:space="preserve">Reason: The Commission will not be responding formally to the requests addressed in the resolution as they were comprehensively addressed in plenary by </w:t>
      </w:r>
      <w:r w:rsidRPr="0085096A">
        <w:rPr>
          <w:lang w:val="en-GB" w:eastAsia="fr-BE"/>
        </w:rPr>
        <w:t>Commissioner</w:t>
      </w:r>
      <w:r w:rsidRPr="00B02D4D">
        <w:rPr>
          <w:szCs w:val="24"/>
          <w:lang w:val="en-GB" w:eastAsia="fr-BE"/>
        </w:rPr>
        <w:t xml:space="preserve"> </w:t>
      </w:r>
      <w:r w:rsidRPr="00CC3615">
        <w:rPr>
          <w:szCs w:val="24"/>
          <w:lang w:val="en-GB" w:eastAsia="en-US"/>
        </w:rPr>
        <w:t>KYRIAKIDES</w:t>
      </w:r>
      <w:r w:rsidRPr="00B02D4D">
        <w:rPr>
          <w:szCs w:val="24"/>
          <w:lang w:val="en-GB" w:eastAsia="fr-BE"/>
        </w:rPr>
        <w:t xml:space="preserve"> on behalf of the High Representative / Vice-President B</w:t>
      </w:r>
      <w:r>
        <w:rPr>
          <w:szCs w:val="24"/>
          <w:lang w:val="en-GB" w:eastAsia="fr-BE"/>
        </w:rPr>
        <w:t>ORRELL</w:t>
      </w:r>
      <w:r w:rsidRPr="00B02D4D">
        <w:rPr>
          <w:szCs w:val="24"/>
          <w:lang w:val="en-GB" w:eastAsia="fr-BE"/>
        </w:rPr>
        <w:t>.</w:t>
      </w:r>
    </w:p>
    <w:p w14:paraId="69A21C98" w14:textId="77777777" w:rsidR="00B02D4D" w:rsidRDefault="00B02D4D" w:rsidP="000E0830">
      <w:pPr>
        <w:pStyle w:val="ListParagraph"/>
        <w:numPr>
          <w:ilvl w:val="0"/>
          <w:numId w:val="45"/>
        </w:numPr>
        <w:spacing w:line="240" w:lineRule="auto"/>
        <w:ind w:left="350" w:hanging="350"/>
        <w:jc w:val="both"/>
        <w:rPr>
          <w:lang w:val="en-US"/>
        </w:rPr>
      </w:pPr>
      <w:r>
        <w:rPr>
          <w:lang w:val="en-US"/>
        </w:rPr>
        <w:t xml:space="preserve">Continuous crackdown on civil society and human rights defenders in Russia: the case of human rights </w:t>
      </w:r>
      <w:r w:rsidRPr="004D001A">
        <w:rPr>
          <w:lang w:val="en-GB"/>
        </w:rPr>
        <w:t xml:space="preserve">organisation </w:t>
      </w:r>
      <w:r>
        <w:rPr>
          <w:lang w:val="en-US"/>
        </w:rPr>
        <w:t>Memorial (2021/3018 (RSP))</w:t>
      </w:r>
    </w:p>
    <w:p w14:paraId="0B2FF526" w14:textId="77777777" w:rsidR="00B02D4D" w:rsidRPr="00B35918" w:rsidRDefault="00B02D4D" w:rsidP="000E0830">
      <w:pPr>
        <w:ind w:left="700" w:hanging="350"/>
        <w:jc w:val="both"/>
      </w:pPr>
      <w:r w:rsidRPr="00B35918">
        <w:t>EP: RC9-0604/2021</w:t>
      </w:r>
    </w:p>
    <w:p w14:paraId="49DC64EE" w14:textId="77777777" w:rsidR="00B02D4D" w:rsidRPr="00B35918" w:rsidRDefault="00B02D4D" w:rsidP="000E0830">
      <w:pPr>
        <w:ind w:left="700" w:hanging="350"/>
        <w:jc w:val="both"/>
      </w:pPr>
      <w:r w:rsidRPr="00B35918">
        <w:t>Date: 16-12-2021</w:t>
      </w:r>
    </w:p>
    <w:p w14:paraId="2718EC28" w14:textId="77777777" w:rsidR="00B02D4D" w:rsidRPr="00B35918" w:rsidRDefault="00B02D4D" w:rsidP="000E0830">
      <w:pPr>
        <w:spacing w:after="120"/>
        <w:ind w:left="700" w:hanging="350"/>
        <w:jc w:val="both"/>
      </w:pPr>
      <w:r w:rsidRPr="00B35918">
        <w:t>Competence: Josep BORRELL FONTELLES</w:t>
      </w:r>
    </w:p>
    <w:p w14:paraId="02289161" w14:textId="4FFF6E59" w:rsidR="00B02D4D" w:rsidRDefault="00B02D4D" w:rsidP="00B02D4D">
      <w:pPr>
        <w:spacing w:after="240"/>
        <w:jc w:val="both"/>
        <w:rPr>
          <w:szCs w:val="24"/>
          <w:lang w:val="en-GB"/>
        </w:rPr>
      </w:pPr>
      <w:r w:rsidRPr="00B02D4D">
        <w:rPr>
          <w:szCs w:val="24"/>
          <w:lang w:val="en-GB" w:eastAsia="fr-BE"/>
        </w:rPr>
        <w:t xml:space="preserve">Reason: The Commission will not be responding formally to the requests addressed in the resolution as they were comprehensively addressed in plenary by </w:t>
      </w:r>
      <w:r w:rsidR="005B479D" w:rsidRPr="0085096A">
        <w:rPr>
          <w:lang w:val="en-GB" w:eastAsia="fr-BE"/>
        </w:rPr>
        <w:t>Commissioner</w:t>
      </w:r>
      <w:r w:rsidRPr="00B02D4D">
        <w:rPr>
          <w:szCs w:val="24"/>
          <w:lang w:val="en-GB" w:eastAsia="fr-BE"/>
        </w:rPr>
        <w:t xml:space="preserve"> </w:t>
      </w:r>
      <w:r w:rsidR="005B479D" w:rsidRPr="00B02D4D">
        <w:rPr>
          <w:szCs w:val="24"/>
          <w:lang w:val="en-GB" w:eastAsia="fr-BE"/>
        </w:rPr>
        <w:t>LENARČIČ</w:t>
      </w:r>
      <w:r w:rsidRPr="00B02D4D">
        <w:rPr>
          <w:szCs w:val="24"/>
          <w:lang w:val="en-GB" w:eastAsia="fr-BE"/>
        </w:rPr>
        <w:t xml:space="preserve"> on behalf of the High Representative / Vice-President B</w:t>
      </w:r>
      <w:r>
        <w:rPr>
          <w:szCs w:val="24"/>
          <w:lang w:val="en-GB" w:eastAsia="fr-BE"/>
        </w:rPr>
        <w:t>ORRELL</w:t>
      </w:r>
      <w:r w:rsidRPr="00B02D4D">
        <w:rPr>
          <w:szCs w:val="24"/>
          <w:lang w:val="en-GB" w:eastAsia="fr-BE"/>
        </w:rPr>
        <w:t>.</w:t>
      </w:r>
    </w:p>
    <w:p w14:paraId="695DD75B" w14:textId="77777777" w:rsidR="00B02D4D" w:rsidRPr="00B02D4D" w:rsidRDefault="00B02D4D" w:rsidP="000E0830">
      <w:pPr>
        <w:pStyle w:val="ListParagraph"/>
        <w:keepNext/>
        <w:keepLines/>
        <w:numPr>
          <w:ilvl w:val="0"/>
          <w:numId w:val="45"/>
        </w:numPr>
        <w:spacing w:line="240" w:lineRule="auto"/>
        <w:ind w:left="357" w:hanging="357"/>
        <w:jc w:val="both"/>
        <w:rPr>
          <w:szCs w:val="24"/>
          <w:lang w:val="en-GB" w:eastAsia="fr-BE"/>
        </w:rPr>
      </w:pPr>
      <w:r w:rsidRPr="00B02D4D">
        <w:rPr>
          <w:lang w:val="en-GB"/>
        </w:rPr>
        <w:t>The situation in Cuba, namely the cases of José Daniel Ferrer, Lady in White Aymara Nieto, Maykel Castillo, Luis Robles, Félix Navarro, Luis Manuel Otero, Reverend Lorenzo Fajardo, Andy Dunier García and Yunior García Aguilera (2021/3019 (RSP))</w:t>
      </w:r>
    </w:p>
    <w:p w14:paraId="501BA2D7" w14:textId="77777777" w:rsidR="00B02D4D" w:rsidRPr="00B35918" w:rsidRDefault="00B02D4D" w:rsidP="000E0830">
      <w:pPr>
        <w:keepNext/>
        <w:keepLines/>
        <w:ind w:left="363"/>
        <w:jc w:val="both"/>
      </w:pPr>
      <w:r w:rsidRPr="00B35918">
        <w:t>EP: RC9-0589/2021</w:t>
      </w:r>
    </w:p>
    <w:p w14:paraId="4F42E859" w14:textId="77777777" w:rsidR="00B02D4D" w:rsidRPr="00B35918" w:rsidRDefault="00B02D4D" w:rsidP="000E0830">
      <w:pPr>
        <w:keepNext/>
        <w:keepLines/>
        <w:ind w:left="363"/>
        <w:jc w:val="both"/>
      </w:pPr>
      <w:r w:rsidRPr="00B35918">
        <w:t>Date: 16-12-2021</w:t>
      </w:r>
    </w:p>
    <w:p w14:paraId="54D87ACB" w14:textId="77777777" w:rsidR="00B02D4D" w:rsidRPr="00B35918" w:rsidRDefault="00B02D4D" w:rsidP="000E0830">
      <w:pPr>
        <w:spacing w:after="120"/>
        <w:ind w:firstLine="378"/>
        <w:jc w:val="both"/>
      </w:pPr>
      <w:r w:rsidRPr="00B35918">
        <w:t>Competence: Josep BORRELL FONTELLES</w:t>
      </w:r>
    </w:p>
    <w:p w14:paraId="0FEB9D22" w14:textId="642389D8" w:rsidR="00B02D4D" w:rsidRDefault="00B02D4D" w:rsidP="00B02D4D">
      <w:pPr>
        <w:spacing w:after="240"/>
        <w:jc w:val="both"/>
        <w:rPr>
          <w:szCs w:val="24"/>
          <w:lang w:val="en-GB"/>
        </w:rPr>
      </w:pPr>
      <w:r w:rsidRPr="00B02D4D">
        <w:rPr>
          <w:szCs w:val="24"/>
          <w:lang w:val="en-GB" w:eastAsia="fr-BE"/>
        </w:rPr>
        <w:t xml:space="preserve">Reason: The Commission will not be responding formally to the requests addressed in the resolution as they were comprehensively addressed in plenary by </w:t>
      </w:r>
      <w:r w:rsidR="005B479D" w:rsidRPr="0085096A">
        <w:rPr>
          <w:lang w:val="en-GB" w:eastAsia="fr-BE"/>
        </w:rPr>
        <w:t>Commissioner</w:t>
      </w:r>
      <w:r w:rsidRPr="00B02D4D">
        <w:rPr>
          <w:szCs w:val="24"/>
          <w:lang w:val="en-GB" w:eastAsia="fr-BE"/>
        </w:rPr>
        <w:t xml:space="preserve"> </w:t>
      </w:r>
      <w:r w:rsidR="005B479D" w:rsidRPr="00B02D4D">
        <w:rPr>
          <w:szCs w:val="24"/>
          <w:lang w:val="en-GB" w:eastAsia="fr-BE"/>
        </w:rPr>
        <w:t>LENARČIČ</w:t>
      </w:r>
      <w:r w:rsidRPr="00B02D4D">
        <w:rPr>
          <w:szCs w:val="24"/>
          <w:lang w:val="en-GB" w:eastAsia="fr-BE"/>
        </w:rPr>
        <w:t xml:space="preserve"> on behalf of the High Representative / Vice-President B</w:t>
      </w:r>
      <w:r>
        <w:rPr>
          <w:szCs w:val="24"/>
          <w:lang w:val="en-GB" w:eastAsia="fr-BE"/>
        </w:rPr>
        <w:t>ORRELL</w:t>
      </w:r>
      <w:r w:rsidRPr="00B02D4D">
        <w:rPr>
          <w:szCs w:val="24"/>
          <w:lang w:val="en-GB" w:eastAsia="fr-BE"/>
        </w:rPr>
        <w:t>.</w:t>
      </w:r>
    </w:p>
    <w:p w14:paraId="2BFCEB8F" w14:textId="77777777" w:rsidR="00B02D4D" w:rsidRDefault="00B02D4D" w:rsidP="000E0830">
      <w:pPr>
        <w:pStyle w:val="ListParagraph"/>
        <w:numPr>
          <w:ilvl w:val="0"/>
          <w:numId w:val="45"/>
        </w:numPr>
        <w:spacing w:line="240" w:lineRule="auto"/>
        <w:ind w:left="357" w:hanging="357"/>
        <w:jc w:val="both"/>
        <w:rPr>
          <w:lang w:val="en-US"/>
        </w:rPr>
      </w:pPr>
      <w:r>
        <w:rPr>
          <w:lang w:val="en-US"/>
        </w:rPr>
        <w:t xml:space="preserve">Forced </w:t>
      </w:r>
      <w:r w:rsidRPr="005B479D">
        <w:rPr>
          <w:lang w:val="en-GB"/>
        </w:rPr>
        <w:t xml:space="preserve">labour </w:t>
      </w:r>
      <w:r>
        <w:rPr>
          <w:lang w:val="en-US"/>
        </w:rPr>
        <w:t>in the Linglong factory and environmental protests in Serbia (2021/3020 (RSP))</w:t>
      </w:r>
    </w:p>
    <w:p w14:paraId="20E59089" w14:textId="77777777" w:rsidR="00B02D4D" w:rsidRPr="00B35918" w:rsidRDefault="00B02D4D" w:rsidP="000E0830">
      <w:pPr>
        <w:ind w:left="363"/>
        <w:jc w:val="both"/>
      </w:pPr>
      <w:r w:rsidRPr="00B35918">
        <w:t>EP: RC9-0600/2021</w:t>
      </w:r>
    </w:p>
    <w:p w14:paraId="21E6AB77" w14:textId="77777777" w:rsidR="00B02D4D" w:rsidRPr="00B35918" w:rsidRDefault="00B02D4D" w:rsidP="000E0830">
      <w:pPr>
        <w:ind w:left="363"/>
        <w:jc w:val="both"/>
      </w:pPr>
      <w:r w:rsidRPr="00B35918">
        <w:t>Date: 16-12-2021</w:t>
      </w:r>
    </w:p>
    <w:p w14:paraId="294CC9F3" w14:textId="77777777" w:rsidR="00B02D4D" w:rsidRPr="00B35918" w:rsidRDefault="00B02D4D" w:rsidP="000E0830">
      <w:pPr>
        <w:spacing w:after="120"/>
        <w:ind w:firstLine="392"/>
        <w:jc w:val="both"/>
      </w:pPr>
      <w:r w:rsidRPr="00B35918">
        <w:t>Competence: Josep BORRELL FONTELLES</w:t>
      </w:r>
    </w:p>
    <w:p w14:paraId="01EC4154" w14:textId="16430BF2" w:rsidR="00B02D4D" w:rsidRDefault="00B02D4D" w:rsidP="00B02D4D">
      <w:pPr>
        <w:spacing w:after="240"/>
        <w:jc w:val="both"/>
        <w:rPr>
          <w:szCs w:val="24"/>
          <w:lang w:val="en-GB"/>
        </w:rPr>
      </w:pPr>
      <w:r w:rsidRPr="00B02D4D">
        <w:rPr>
          <w:szCs w:val="24"/>
          <w:lang w:val="en-GB" w:eastAsia="fr-BE"/>
        </w:rPr>
        <w:t xml:space="preserve">Reason: The Commission will not be responding formally to the requests addressed in the resolution as they were comprehensively addressed in plenary by </w:t>
      </w:r>
      <w:r w:rsidR="005B479D" w:rsidRPr="0085096A">
        <w:rPr>
          <w:lang w:val="en-GB" w:eastAsia="fr-BE"/>
        </w:rPr>
        <w:t>Commissioner</w:t>
      </w:r>
      <w:r w:rsidRPr="00B02D4D">
        <w:rPr>
          <w:szCs w:val="24"/>
          <w:lang w:val="en-GB" w:eastAsia="fr-BE"/>
        </w:rPr>
        <w:t xml:space="preserve"> </w:t>
      </w:r>
      <w:r w:rsidR="005B479D" w:rsidRPr="00B02D4D">
        <w:rPr>
          <w:szCs w:val="24"/>
          <w:lang w:val="en-GB" w:eastAsia="fr-BE"/>
        </w:rPr>
        <w:t>LENARČIČ</w:t>
      </w:r>
      <w:r w:rsidRPr="00B02D4D">
        <w:rPr>
          <w:szCs w:val="24"/>
          <w:lang w:val="en-GB" w:eastAsia="fr-BE"/>
        </w:rPr>
        <w:t xml:space="preserve"> on behalf of the High Representative / Vice-President B</w:t>
      </w:r>
      <w:r>
        <w:rPr>
          <w:szCs w:val="24"/>
          <w:lang w:val="en-GB" w:eastAsia="fr-BE"/>
        </w:rPr>
        <w:t>ORRELL</w:t>
      </w:r>
      <w:r w:rsidRPr="00B02D4D">
        <w:rPr>
          <w:szCs w:val="24"/>
          <w:lang w:val="en-GB" w:eastAsia="fr-BE"/>
        </w:rPr>
        <w:t>.</w:t>
      </w:r>
    </w:p>
    <w:p w14:paraId="211C16CE" w14:textId="77777777" w:rsidR="00B02D4D" w:rsidRDefault="00B02D4D" w:rsidP="000E0830">
      <w:pPr>
        <w:pStyle w:val="ListParagraph"/>
        <w:numPr>
          <w:ilvl w:val="0"/>
          <w:numId w:val="45"/>
        </w:numPr>
        <w:spacing w:line="240" w:lineRule="auto"/>
        <w:ind w:left="357" w:hanging="357"/>
        <w:jc w:val="both"/>
        <w:rPr>
          <w:lang w:val="en-US"/>
        </w:rPr>
      </w:pPr>
      <w:r>
        <w:rPr>
          <w:lang w:val="en-US"/>
        </w:rPr>
        <w:t>The situation in Nicaragua (2021/3000 (RSP))</w:t>
      </w:r>
    </w:p>
    <w:p w14:paraId="4DA39B1A" w14:textId="77777777" w:rsidR="00B02D4D" w:rsidRPr="00B02D4D" w:rsidRDefault="00B02D4D" w:rsidP="000E0830">
      <w:pPr>
        <w:ind w:left="714" w:hanging="357"/>
        <w:jc w:val="both"/>
        <w:rPr>
          <w:lang w:val="en-GB"/>
        </w:rPr>
      </w:pPr>
      <w:r w:rsidRPr="00B02D4D">
        <w:rPr>
          <w:lang w:val="en-GB"/>
        </w:rPr>
        <w:t>EP: RC9-0581/2021</w:t>
      </w:r>
    </w:p>
    <w:p w14:paraId="18820C1D" w14:textId="77777777" w:rsidR="00B02D4D" w:rsidRPr="00B02D4D" w:rsidRDefault="00B02D4D" w:rsidP="000E0830">
      <w:pPr>
        <w:ind w:left="714" w:hanging="357"/>
        <w:jc w:val="both"/>
        <w:rPr>
          <w:lang w:val="en-GB"/>
        </w:rPr>
      </w:pPr>
      <w:r w:rsidRPr="00B02D4D">
        <w:rPr>
          <w:lang w:val="en-GB"/>
        </w:rPr>
        <w:t>Date: 16-12-2021</w:t>
      </w:r>
    </w:p>
    <w:p w14:paraId="50177BF1" w14:textId="77777777" w:rsidR="00B02D4D" w:rsidRPr="00B02D4D" w:rsidRDefault="00B02D4D" w:rsidP="000E0830">
      <w:pPr>
        <w:spacing w:after="120"/>
        <w:ind w:left="714" w:hanging="357"/>
        <w:jc w:val="both"/>
        <w:rPr>
          <w:lang w:val="en-GB"/>
        </w:rPr>
      </w:pPr>
      <w:r w:rsidRPr="00B02D4D">
        <w:rPr>
          <w:lang w:val="en-GB"/>
        </w:rPr>
        <w:t>Competence: Josep BORRELL FONTELLES</w:t>
      </w:r>
    </w:p>
    <w:p w14:paraId="2FFAAA5D" w14:textId="454D6D2D" w:rsidR="00B02D4D" w:rsidRDefault="00B02D4D" w:rsidP="00B02D4D">
      <w:pPr>
        <w:spacing w:after="240"/>
        <w:jc w:val="both"/>
        <w:rPr>
          <w:szCs w:val="24"/>
          <w:lang w:val="en-GB"/>
        </w:rPr>
      </w:pPr>
      <w:r w:rsidRPr="00B02D4D">
        <w:rPr>
          <w:szCs w:val="24"/>
          <w:lang w:val="en-GB" w:eastAsia="fr-BE"/>
        </w:rPr>
        <w:t>Reason: The Commission will not be responding formally to the requests addressed in the resolution as they were comprehensively addressed in plenary by the High Representative / Vice-President B</w:t>
      </w:r>
      <w:r>
        <w:rPr>
          <w:szCs w:val="24"/>
          <w:lang w:val="en-GB" w:eastAsia="fr-BE"/>
        </w:rPr>
        <w:t>ORRELL</w:t>
      </w:r>
      <w:r w:rsidRPr="00B02D4D">
        <w:rPr>
          <w:szCs w:val="24"/>
          <w:lang w:val="en-GB" w:eastAsia="fr-BE"/>
        </w:rPr>
        <w:t>.</w:t>
      </w:r>
    </w:p>
    <w:p w14:paraId="7BA8F197" w14:textId="77777777" w:rsidR="00B02D4D" w:rsidRDefault="00B02D4D" w:rsidP="000E0830">
      <w:pPr>
        <w:pStyle w:val="ListParagraph"/>
        <w:numPr>
          <w:ilvl w:val="0"/>
          <w:numId w:val="45"/>
        </w:numPr>
        <w:spacing w:line="240" w:lineRule="auto"/>
        <w:ind w:left="357" w:hanging="357"/>
        <w:jc w:val="both"/>
        <w:rPr>
          <w:lang w:val="en-US"/>
        </w:rPr>
      </w:pPr>
      <w:r>
        <w:rPr>
          <w:lang w:val="en-US"/>
        </w:rPr>
        <w:t>Situation at the Ukrainian border and in Russian-occupied territories of Ukraine (2021/3010 (RSP))</w:t>
      </w:r>
    </w:p>
    <w:p w14:paraId="1B49364D" w14:textId="77777777" w:rsidR="00B02D4D" w:rsidRPr="00B35918" w:rsidRDefault="00B02D4D" w:rsidP="000E0830">
      <w:pPr>
        <w:ind w:left="363"/>
        <w:jc w:val="both"/>
      </w:pPr>
      <w:r w:rsidRPr="00B35918">
        <w:t>EP: RC9-0594/2021</w:t>
      </w:r>
    </w:p>
    <w:p w14:paraId="62B4F8F8" w14:textId="77777777" w:rsidR="00B02D4D" w:rsidRPr="00B35918" w:rsidRDefault="00B02D4D" w:rsidP="000E0830">
      <w:pPr>
        <w:ind w:left="363"/>
        <w:jc w:val="both"/>
      </w:pPr>
      <w:r w:rsidRPr="00B35918">
        <w:t>Date: 16-12-2021</w:t>
      </w:r>
    </w:p>
    <w:p w14:paraId="53C0297E" w14:textId="77777777" w:rsidR="00B02D4D" w:rsidRPr="00B35918" w:rsidRDefault="00B02D4D" w:rsidP="000E0830">
      <w:pPr>
        <w:spacing w:after="120"/>
        <w:ind w:firstLine="378"/>
        <w:jc w:val="both"/>
      </w:pPr>
      <w:r w:rsidRPr="00B35918">
        <w:t>Co</w:t>
      </w:r>
      <w:bookmarkStart w:id="7" w:name="_GoBack"/>
      <w:bookmarkEnd w:id="7"/>
      <w:r w:rsidRPr="00B35918">
        <w:t>mpetence: Josep BORRELL FONTELLES</w:t>
      </w:r>
    </w:p>
    <w:p w14:paraId="775357F9" w14:textId="1487AA55" w:rsidR="008E079A" w:rsidRPr="008E079A" w:rsidRDefault="00B02D4D" w:rsidP="00B02D4D">
      <w:pPr>
        <w:spacing w:after="100" w:afterAutospacing="1"/>
        <w:jc w:val="both"/>
        <w:rPr>
          <w:noProof/>
          <w:szCs w:val="24"/>
          <w:lang w:val="en-GB"/>
        </w:rPr>
      </w:pPr>
      <w:r w:rsidRPr="00B02D4D">
        <w:rPr>
          <w:szCs w:val="24"/>
          <w:lang w:val="en-GB" w:eastAsia="fr-BE"/>
        </w:rPr>
        <w:t>Reason: The Commission will not be responding formally to the requests addressed in the resolution as they were comprehensively addressed in plenary by the High Representative / Vice-President B</w:t>
      </w:r>
      <w:r>
        <w:rPr>
          <w:szCs w:val="24"/>
          <w:lang w:val="en-GB" w:eastAsia="fr-BE"/>
        </w:rPr>
        <w:t>ORRELL</w:t>
      </w:r>
      <w:r w:rsidRPr="00B02D4D">
        <w:rPr>
          <w:szCs w:val="24"/>
          <w:lang w:val="en-GB" w:eastAsia="fr-BE"/>
        </w:rPr>
        <w:t>.</w:t>
      </w:r>
    </w:p>
    <w:sectPr w:rsidR="008E079A" w:rsidRPr="008E079A"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5CF1"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2109E051" w:rsidR="00EC7926" w:rsidRDefault="00EC7926">
        <w:pPr>
          <w:pStyle w:val="Footer"/>
          <w:jc w:val="center"/>
        </w:pPr>
        <w:r>
          <w:fldChar w:fldCharType="begin"/>
        </w:r>
        <w:r>
          <w:instrText xml:space="preserve"> PAGE   \* MERGEFORMAT </w:instrText>
        </w:r>
        <w:r>
          <w:fldChar w:fldCharType="separate"/>
        </w:r>
        <w:r w:rsidR="000E0830">
          <w:rPr>
            <w:noProof/>
          </w:rPr>
          <w:t>11</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77777777" w:rsidR="00EC7926" w:rsidRDefault="00EC7926" w:rsidP="008A1A0C">
    <w:pPr>
      <w:pStyle w:val="Footer"/>
      <w:jc w:val="both"/>
    </w:pPr>
    <w: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FBFD"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FDBF" w14:textId="46F0A88E"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4754B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2EC35364" w14:textId="77777777" w:rsidR="00EC7926" w:rsidRPr="004754B5" w:rsidRDefault="00EC7926" w:rsidP="004754B5">
          <w:pPr>
            <w:spacing w:before="90" w:line="240" w:lineRule="auto"/>
            <w:ind w:right="85"/>
            <w:jc w:val="both"/>
            <w:rPr>
              <w:rFonts w:cs="Arial"/>
              <w:sz w:val="20"/>
              <w:lang w:eastAsia="en-US"/>
            </w:rPr>
          </w:pPr>
          <w:r w:rsidRPr="004754B5">
            <w:rPr>
              <w:rFonts w:cs="Arial"/>
              <w:sz w:val="20"/>
              <w:lang w:eastAsia="en-US"/>
            </w:rPr>
            <w:t>COMMISSION EUROPÉENNE</w:t>
          </w:r>
        </w:p>
        <w:p w14:paraId="1662F946"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SECRÉTARIAT GÉNÉRAL</w:t>
          </w:r>
        </w:p>
        <w:p w14:paraId="6E01B304" w14:textId="77777777" w:rsidR="00EC7926" w:rsidRPr="004754B5" w:rsidRDefault="00EC7926" w:rsidP="004754B5">
          <w:pPr>
            <w:spacing w:line="240" w:lineRule="auto"/>
            <w:ind w:right="85"/>
            <w:jc w:val="both"/>
            <w:rPr>
              <w:rFonts w:cs="Arial"/>
              <w:color w:val="000000"/>
              <w:sz w:val="16"/>
              <w:szCs w:val="16"/>
              <w:lang w:eastAsia="fr-BE"/>
            </w:rPr>
          </w:pPr>
        </w:p>
        <w:p w14:paraId="523D9052" w14:textId="77777777" w:rsidR="00EC7926" w:rsidRPr="004754B5" w:rsidRDefault="00EC7926" w:rsidP="004754B5">
          <w:pPr>
            <w:spacing w:line="240" w:lineRule="auto"/>
            <w:ind w:right="85"/>
            <w:jc w:val="both"/>
            <w:rPr>
              <w:rFonts w:cs="Arial"/>
              <w:color w:val="000000"/>
              <w:sz w:val="16"/>
              <w:szCs w:val="16"/>
              <w:lang w:eastAsia="fr-BE"/>
            </w:rPr>
          </w:pPr>
        </w:p>
        <w:p w14:paraId="1ED67AF9"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Direction B - Prise de décision &amp; Collégialité</w:t>
          </w:r>
        </w:p>
        <w:p w14:paraId="25386C7D"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b/>
              <w:bCs/>
              <w:color w:val="000000"/>
              <w:sz w:val="16"/>
              <w:szCs w:val="16"/>
              <w:lang w:eastAsia="fr-BE"/>
            </w:rPr>
            <w:t>SG.B.3 -</w:t>
          </w:r>
          <w:r w:rsidRPr="004754B5">
            <w:rPr>
              <w:rFonts w:cs="Arial"/>
              <w:color w:val="000000"/>
              <w:sz w:val="16"/>
              <w:szCs w:val="16"/>
              <w:lang w:eastAsia="fr-BE"/>
            </w:rPr>
            <w:t xml:space="preserve"> </w:t>
          </w:r>
          <w:r w:rsidRPr="004754B5">
            <w:rPr>
              <w:rFonts w:cs="Arial"/>
              <w:b/>
              <w:bCs/>
              <w:color w:val="000000"/>
              <w:sz w:val="16"/>
              <w:szCs w:val="16"/>
              <w:lang w:eastAsia="fr-BE"/>
            </w:rPr>
            <w:t>Secrétariat du Groupe des Relations Interinstitutionnelles (GRI)</w:t>
          </w:r>
        </w:p>
      </w:tc>
      <w:tc>
        <w:tcPr>
          <w:tcW w:w="7290" w:type="dxa"/>
          <w:vAlign w:val="bottom"/>
        </w:tcPr>
        <w:p w14:paraId="00A6BC93" w14:textId="77777777" w:rsidR="00EC7926" w:rsidRPr="004754B5" w:rsidRDefault="00EC7926" w:rsidP="004754B5">
          <w:pPr>
            <w:spacing w:after="200" w:line="240" w:lineRule="auto"/>
            <w:ind w:right="85"/>
            <w:rPr>
              <w:b/>
              <w:sz w:val="16"/>
              <w:szCs w:val="16"/>
              <w:lang w:eastAsia="en-US"/>
            </w:rPr>
          </w:pPr>
        </w:p>
      </w:tc>
    </w:tr>
  </w:tbl>
  <w:p w14:paraId="79ACE709"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6C44CF8"/>
    <w:multiLevelType w:val="hybridMultilevel"/>
    <w:tmpl w:val="0260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70B2A"/>
    <w:multiLevelType w:val="hybridMultilevel"/>
    <w:tmpl w:val="027A6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1A445907"/>
    <w:multiLevelType w:val="hybridMultilevel"/>
    <w:tmpl w:val="CBA2C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3"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B3FA2"/>
    <w:multiLevelType w:val="hybridMultilevel"/>
    <w:tmpl w:val="F1144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36"/>
  </w:num>
  <w:num w:numId="5">
    <w:abstractNumId w:val="31"/>
  </w:num>
  <w:num w:numId="6">
    <w:abstractNumId w:val="16"/>
  </w:num>
  <w:num w:numId="7">
    <w:abstractNumId w:val="34"/>
  </w:num>
  <w:num w:numId="8">
    <w:abstractNumId w:val="27"/>
  </w:num>
  <w:num w:numId="9">
    <w:abstractNumId w:val="15"/>
  </w:num>
  <w:num w:numId="10">
    <w:abstractNumId w:val="8"/>
  </w:num>
  <w:num w:numId="11">
    <w:abstractNumId w:val="35"/>
  </w:num>
  <w:num w:numId="12">
    <w:abstractNumId w:val="9"/>
  </w:num>
  <w:num w:numId="13">
    <w:abstractNumId w:val="25"/>
  </w:num>
  <w:num w:numId="14">
    <w:abstractNumId w:val="32"/>
  </w:num>
  <w:num w:numId="15">
    <w:abstractNumId w:val="19"/>
  </w:num>
  <w:num w:numId="16">
    <w:abstractNumId w:val="1"/>
  </w:num>
  <w:num w:numId="17">
    <w:abstractNumId w:val="26"/>
  </w:num>
  <w:num w:numId="18">
    <w:abstractNumId w:val="24"/>
  </w:num>
  <w:num w:numId="19">
    <w:abstractNumId w:val="37"/>
  </w:num>
  <w:num w:numId="20">
    <w:abstractNumId w:val="3"/>
  </w:num>
  <w:num w:numId="21">
    <w:abstractNumId w:val="39"/>
  </w:num>
  <w:num w:numId="22">
    <w:abstractNumId w:val="11"/>
  </w:num>
  <w:num w:numId="23">
    <w:abstractNumId w:val="0"/>
  </w:num>
  <w:num w:numId="24">
    <w:abstractNumId w:val="21"/>
  </w:num>
  <w:num w:numId="25">
    <w:abstractNumId w:val="12"/>
  </w:num>
  <w:num w:numId="26">
    <w:abstractNumId w:val="22"/>
  </w:num>
  <w:num w:numId="27">
    <w:abstractNumId w:val="30"/>
  </w:num>
  <w:num w:numId="28">
    <w:abstractNumId w:val="43"/>
  </w:num>
  <w:num w:numId="29">
    <w:abstractNumId w:val="33"/>
  </w:num>
  <w:num w:numId="30">
    <w:abstractNumId w:val="29"/>
  </w:num>
  <w:num w:numId="31">
    <w:abstractNumId w:val="42"/>
  </w:num>
  <w:num w:numId="32">
    <w:abstractNumId w:val="23"/>
  </w:num>
  <w:num w:numId="33">
    <w:abstractNumId w:val="18"/>
  </w:num>
  <w:num w:numId="34">
    <w:abstractNumId w:val="20"/>
  </w:num>
  <w:num w:numId="35">
    <w:abstractNumId w:val="41"/>
  </w:num>
  <w:num w:numId="36">
    <w:abstractNumId w:val="28"/>
  </w:num>
  <w:num w:numId="37">
    <w:abstractNumId w:val="13"/>
  </w:num>
  <w:num w:numId="38">
    <w:abstractNumId w:val="38"/>
  </w:num>
  <w:num w:numId="39">
    <w:abstractNumId w:val="6"/>
  </w:num>
  <w:num w:numId="40">
    <w:abstractNumId w:val="2"/>
  </w:num>
  <w:num w:numId="41">
    <w:abstractNumId w:val="5"/>
  </w:num>
  <w:num w:numId="42">
    <w:abstractNumId w:val="38"/>
  </w:num>
  <w:num w:numId="43">
    <w:abstractNumId w:val="40"/>
  </w:num>
  <w:num w:numId="44">
    <w:abstractNumId w:val="14"/>
  </w:num>
  <w:num w:numId="45">
    <w:abstractNumId w:val="3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7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1D04"/>
    <w:rsid w:val="00045855"/>
    <w:rsid w:val="00045BF0"/>
    <w:rsid w:val="00046224"/>
    <w:rsid w:val="00052442"/>
    <w:rsid w:val="00053607"/>
    <w:rsid w:val="00055079"/>
    <w:rsid w:val="00055096"/>
    <w:rsid w:val="00055589"/>
    <w:rsid w:val="000557D5"/>
    <w:rsid w:val="00056956"/>
    <w:rsid w:val="000577CD"/>
    <w:rsid w:val="00061954"/>
    <w:rsid w:val="0006264D"/>
    <w:rsid w:val="00065320"/>
    <w:rsid w:val="00065724"/>
    <w:rsid w:val="00067828"/>
    <w:rsid w:val="00070E46"/>
    <w:rsid w:val="000712EA"/>
    <w:rsid w:val="000718ED"/>
    <w:rsid w:val="000729D8"/>
    <w:rsid w:val="000749BB"/>
    <w:rsid w:val="0007573A"/>
    <w:rsid w:val="00076D8B"/>
    <w:rsid w:val="000810C3"/>
    <w:rsid w:val="00081F5A"/>
    <w:rsid w:val="000832AF"/>
    <w:rsid w:val="00084136"/>
    <w:rsid w:val="00087A63"/>
    <w:rsid w:val="000936C4"/>
    <w:rsid w:val="0009387E"/>
    <w:rsid w:val="00093F2C"/>
    <w:rsid w:val="000953C9"/>
    <w:rsid w:val="000957C1"/>
    <w:rsid w:val="00096F3B"/>
    <w:rsid w:val="000A0207"/>
    <w:rsid w:val="000A2685"/>
    <w:rsid w:val="000A4A12"/>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9CD"/>
    <w:rsid w:val="000D65C2"/>
    <w:rsid w:val="000D6C11"/>
    <w:rsid w:val="000D70B9"/>
    <w:rsid w:val="000E0830"/>
    <w:rsid w:val="000E165B"/>
    <w:rsid w:val="000E575F"/>
    <w:rsid w:val="000E6BA2"/>
    <w:rsid w:val="000E79A3"/>
    <w:rsid w:val="000E7C0B"/>
    <w:rsid w:val="000F2102"/>
    <w:rsid w:val="000F2A1E"/>
    <w:rsid w:val="000F4894"/>
    <w:rsid w:val="000F67B9"/>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09D"/>
    <w:rsid w:val="001256F5"/>
    <w:rsid w:val="00125AF3"/>
    <w:rsid w:val="00126785"/>
    <w:rsid w:val="001275A0"/>
    <w:rsid w:val="00131053"/>
    <w:rsid w:val="00133937"/>
    <w:rsid w:val="00135201"/>
    <w:rsid w:val="00136113"/>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5A55"/>
    <w:rsid w:val="002C1E7C"/>
    <w:rsid w:val="002C42A0"/>
    <w:rsid w:val="002C4D1F"/>
    <w:rsid w:val="002C61F4"/>
    <w:rsid w:val="002D1F6A"/>
    <w:rsid w:val="002D2B8E"/>
    <w:rsid w:val="002D5EF2"/>
    <w:rsid w:val="002E1543"/>
    <w:rsid w:val="002E6296"/>
    <w:rsid w:val="002E777F"/>
    <w:rsid w:val="002E7F0A"/>
    <w:rsid w:val="002F2144"/>
    <w:rsid w:val="002F35B1"/>
    <w:rsid w:val="002F3C4F"/>
    <w:rsid w:val="002F7976"/>
    <w:rsid w:val="0030280B"/>
    <w:rsid w:val="003030EB"/>
    <w:rsid w:val="00303A72"/>
    <w:rsid w:val="00310798"/>
    <w:rsid w:val="00314DE1"/>
    <w:rsid w:val="003167C9"/>
    <w:rsid w:val="0031759A"/>
    <w:rsid w:val="00322729"/>
    <w:rsid w:val="003248B4"/>
    <w:rsid w:val="00325C34"/>
    <w:rsid w:val="00325CA1"/>
    <w:rsid w:val="003262C1"/>
    <w:rsid w:val="00331238"/>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3F6AFC"/>
    <w:rsid w:val="00401406"/>
    <w:rsid w:val="00401AE3"/>
    <w:rsid w:val="00401FBD"/>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853"/>
    <w:rsid w:val="00491E00"/>
    <w:rsid w:val="00492F73"/>
    <w:rsid w:val="00493A49"/>
    <w:rsid w:val="004945A4"/>
    <w:rsid w:val="00494974"/>
    <w:rsid w:val="004A12B0"/>
    <w:rsid w:val="004A150E"/>
    <w:rsid w:val="004A1F6C"/>
    <w:rsid w:val="004A2A0B"/>
    <w:rsid w:val="004A4410"/>
    <w:rsid w:val="004A4DD5"/>
    <w:rsid w:val="004B0C97"/>
    <w:rsid w:val="004B3570"/>
    <w:rsid w:val="004C02AD"/>
    <w:rsid w:val="004C2708"/>
    <w:rsid w:val="004C3D46"/>
    <w:rsid w:val="004D001A"/>
    <w:rsid w:val="004D0416"/>
    <w:rsid w:val="004D3A42"/>
    <w:rsid w:val="004D4210"/>
    <w:rsid w:val="004D585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B0232"/>
    <w:rsid w:val="005B1FC7"/>
    <w:rsid w:val="005B479D"/>
    <w:rsid w:val="005B67C4"/>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81"/>
    <w:rsid w:val="00652450"/>
    <w:rsid w:val="00654DE9"/>
    <w:rsid w:val="006555F9"/>
    <w:rsid w:val="00655F34"/>
    <w:rsid w:val="00656CFA"/>
    <w:rsid w:val="00660761"/>
    <w:rsid w:val="006610E2"/>
    <w:rsid w:val="00661375"/>
    <w:rsid w:val="00661505"/>
    <w:rsid w:val="00661E82"/>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C11"/>
    <w:rsid w:val="006A1DAC"/>
    <w:rsid w:val="006A328C"/>
    <w:rsid w:val="006A50B7"/>
    <w:rsid w:val="006A5DB0"/>
    <w:rsid w:val="006A781E"/>
    <w:rsid w:val="006B02F8"/>
    <w:rsid w:val="006B0AC3"/>
    <w:rsid w:val="006B40C2"/>
    <w:rsid w:val="006B64F3"/>
    <w:rsid w:val="006C080F"/>
    <w:rsid w:val="006C0DAC"/>
    <w:rsid w:val="006C7CE1"/>
    <w:rsid w:val="006D03D1"/>
    <w:rsid w:val="006D0602"/>
    <w:rsid w:val="006D129F"/>
    <w:rsid w:val="006D1B95"/>
    <w:rsid w:val="006D1FB5"/>
    <w:rsid w:val="006D4C90"/>
    <w:rsid w:val="006D5098"/>
    <w:rsid w:val="006D54F2"/>
    <w:rsid w:val="006D5903"/>
    <w:rsid w:val="006D59DC"/>
    <w:rsid w:val="006D5E46"/>
    <w:rsid w:val="006E1B33"/>
    <w:rsid w:val="006E206E"/>
    <w:rsid w:val="006E270A"/>
    <w:rsid w:val="006E3333"/>
    <w:rsid w:val="006E340E"/>
    <w:rsid w:val="006E363A"/>
    <w:rsid w:val="006E3CAB"/>
    <w:rsid w:val="006E4792"/>
    <w:rsid w:val="006E4CD4"/>
    <w:rsid w:val="006E75EA"/>
    <w:rsid w:val="006E7FBF"/>
    <w:rsid w:val="006F24B9"/>
    <w:rsid w:val="006F370B"/>
    <w:rsid w:val="006F4014"/>
    <w:rsid w:val="006F46BC"/>
    <w:rsid w:val="006F6BA8"/>
    <w:rsid w:val="00704311"/>
    <w:rsid w:val="00705FF2"/>
    <w:rsid w:val="007071FE"/>
    <w:rsid w:val="00710815"/>
    <w:rsid w:val="00711C88"/>
    <w:rsid w:val="00714BDB"/>
    <w:rsid w:val="00714C30"/>
    <w:rsid w:val="007156EA"/>
    <w:rsid w:val="00715A28"/>
    <w:rsid w:val="00715B0B"/>
    <w:rsid w:val="0071683A"/>
    <w:rsid w:val="00717534"/>
    <w:rsid w:val="00717BF5"/>
    <w:rsid w:val="0072117B"/>
    <w:rsid w:val="007223D9"/>
    <w:rsid w:val="00724C0A"/>
    <w:rsid w:val="00724EE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D23AB"/>
    <w:rsid w:val="007D26A4"/>
    <w:rsid w:val="007D33AD"/>
    <w:rsid w:val="007D5A06"/>
    <w:rsid w:val="007D5FC6"/>
    <w:rsid w:val="007D6810"/>
    <w:rsid w:val="007D7538"/>
    <w:rsid w:val="007E3EEE"/>
    <w:rsid w:val="007E4CC3"/>
    <w:rsid w:val="007E53A6"/>
    <w:rsid w:val="007E5C0E"/>
    <w:rsid w:val="007E649E"/>
    <w:rsid w:val="007F0743"/>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7721"/>
    <w:rsid w:val="008415A8"/>
    <w:rsid w:val="0084295B"/>
    <w:rsid w:val="00843141"/>
    <w:rsid w:val="0084581D"/>
    <w:rsid w:val="00847366"/>
    <w:rsid w:val="00850630"/>
    <w:rsid w:val="0085096A"/>
    <w:rsid w:val="0085309F"/>
    <w:rsid w:val="00853203"/>
    <w:rsid w:val="0085402F"/>
    <w:rsid w:val="0086008F"/>
    <w:rsid w:val="008600BB"/>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1464"/>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079A"/>
    <w:rsid w:val="008E14C6"/>
    <w:rsid w:val="008E29E4"/>
    <w:rsid w:val="008E4B5B"/>
    <w:rsid w:val="008E75F7"/>
    <w:rsid w:val="008F2389"/>
    <w:rsid w:val="008F503E"/>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25D1"/>
    <w:rsid w:val="00942723"/>
    <w:rsid w:val="009459F9"/>
    <w:rsid w:val="0094607D"/>
    <w:rsid w:val="00947A22"/>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705"/>
    <w:rsid w:val="009D29C1"/>
    <w:rsid w:val="009D314B"/>
    <w:rsid w:val="009D4639"/>
    <w:rsid w:val="009D4CBE"/>
    <w:rsid w:val="009E0805"/>
    <w:rsid w:val="009E0F66"/>
    <w:rsid w:val="009E21B3"/>
    <w:rsid w:val="009E3553"/>
    <w:rsid w:val="009E7304"/>
    <w:rsid w:val="009E77EB"/>
    <w:rsid w:val="009F27F4"/>
    <w:rsid w:val="009F3401"/>
    <w:rsid w:val="009F36CF"/>
    <w:rsid w:val="009F49E0"/>
    <w:rsid w:val="009F616A"/>
    <w:rsid w:val="00A006B7"/>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36E60"/>
    <w:rsid w:val="00A427C7"/>
    <w:rsid w:val="00A44C06"/>
    <w:rsid w:val="00A45962"/>
    <w:rsid w:val="00A46C12"/>
    <w:rsid w:val="00A522DE"/>
    <w:rsid w:val="00A52451"/>
    <w:rsid w:val="00A5267A"/>
    <w:rsid w:val="00A52C83"/>
    <w:rsid w:val="00A54E6E"/>
    <w:rsid w:val="00A555B6"/>
    <w:rsid w:val="00A55611"/>
    <w:rsid w:val="00A55731"/>
    <w:rsid w:val="00A56D81"/>
    <w:rsid w:val="00A60513"/>
    <w:rsid w:val="00A60655"/>
    <w:rsid w:val="00A64E90"/>
    <w:rsid w:val="00A67C72"/>
    <w:rsid w:val="00A67E25"/>
    <w:rsid w:val="00A76C9B"/>
    <w:rsid w:val="00A77021"/>
    <w:rsid w:val="00A8048D"/>
    <w:rsid w:val="00A86C93"/>
    <w:rsid w:val="00A904DB"/>
    <w:rsid w:val="00A93D35"/>
    <w:rsid w:val="00AA5BB7"/>
    <w:rsid w:val="00AB015D"/>
    <w:rsid w:val="00AB081F"/>
    <w:rsid w:val="00AB0B43"/>
    <w:rsid w:val="00AB0D4C"/>
    <w:rsid w:val="00AB2A2B"/>
    <w:rsid w:val="00AB3592"/>
    <w:rsid w:val="00AB4AC9"/>
    <w:rsid w:val="00AB5DD7"/>
    <w:rsid w:val="00AB67E8"/>
    <w:rsid w:val="00AC06F0"/>
    <w:rsid w:val="00AC4DEB"/>
    <w:rsid w:val="00AC5B49"/>
    <w:rsid w:val="00AC67B4"/>
    <w:rsid w:val="00AD1882"/>
    <w:rsid w:val="00AD2A8B"/>
    <w:rsid w:val="00AD312B"/>
    <w:rsid w:val="00AD4875"/>
    <w:rsid w:val="00AD65E1"/>
    <w:rsid w:val="00AD692C"/>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D4D"/>
    <w:rsid w:val="00B02E0C"/>
    <w:rsid w:val="00B04184"/>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35918"/>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7DF"/>
    <w:rsid w:val="00B56E46"/>
    <w:rsid w:val="00B60790"/>
    <w:rsid w:val="00B612B9"/>
    <w:rsid w:val="00B6245A"/>
    <w:rsid w:val="00B715EA"/>
    <w:rsid w:val="00B718C8"/>
    <w:rsid w:val="00B71FF0"/>
    <w:rsid w:val="00B735BD"/>
    <w:rsid w:val="00B745E8"/>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1FA"/>
    <w:rsid w:val="00BB035D"/>
    <w:rsid w:val="00BB067D"/>
    <w:rsid w:val="00BB1F55"/>
    <w:rsid w:val="00BB2850"/>
    <w:rsid w:val="00BB387D"/>
    <w:rsid w:val="00BB3C09"/>
    <w:rsid w:val="00BB71EB"/>
    <w:rsid w:val="00BC0646"/>
    <w:rsid w:val="00BC33E9"/>
    <w:rsid w:val="00BC6D12"/>
    <w:rsid w:val="00BC7266"/>
    <w:rsid w:val="00BD0ADA"/>
    <w:rsid w:val="00BD134F"/>
    <w:rsid w:val="00BD1AC6"/>
    <w:rsid w:val="00BD2E67"/>
    <w:rsid w:val="00BD33C0"/>
    <w:rsid w:val="00BD3EEB"/>
    <w:rsid w:val="00BD3F32"/>
    <w:rsid w:val="00BD47A1"/>
    <w:rsid w:val="00BD7DC7"/>
    <w:rsid w:val="00BE0CB3"/>
    <w:rsid w:val="00BE0F1E"/>
    <w:rsid w:val="00BE46A9"/>
    <w:rsid w:val="00BE5255"/>
    <w:rsid w:val="00BE53A3"/>
    <w:rsid w:val="00BE59E1"/>
    <w:rsid w:val="00BF200D"/>
    <w:rsid w:val="00BF25D3"/>
    <w:rsid w:val="00BF39F0"/>
    <w:rsid w:val="00BF431A"/>
    <w:rsid w:val="00BF4648"/>
    <w:rsid w:val="00BF51E4"/>
    <w:rsid w:val="00BF59E9"/>
    <w:rsid w:val="00C00553"/>
    <w:rsid w:val="00C01311"/>
    <w:rsid w:val="00C01652"/>
    <w:rsid w:val="00C07B70"/>
    <w:rsid w:val="00C10B8E"/>
    <w:rsid w:val="00C158E8"/>
    <w:rsid w:val="00C15919"/>
    <w:rsid w:val="00C16863"/>
    <w:rsid w:val="00C20365"/>
    <w:rsid w:val="00C20C27"/>
    <w:rsid w:val="00C22D03"/>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77CA8"/>
    <w:rsid w:val="00C83964"/>
    <w:rsid w:val="00C83C52"/>
    <w:rsid w:val="00C84FD2"/>
    <w:rsid w:val="00C851EC"/>
    <w:rsid w:val="00C85D7E"/>
    <w:rsid w:val="00C862BF"/>
    <w:rsid w:val="00C91F35"/>
    <w:rsid w:val="00C94D87"/>
    <w:rsid w:val="00C95346"/>
    <w:rsid w:val="00C976E1"/>
    <w:rsid w:val="00CA4086"/>
    <w:rsid w:val="00CA7167"/>
    <w:rsid w:val="00CB0BA7"/>
    <w:rsid w:val="00CB1814"/>
    <w:rsid w:val="00CB273A"/>
    <w:rsid w:val="00CB58EE"/>
    <w:rsid w:val="00CB6BD6"/>
    <w:rsid w:val="00CB7537"/>
    <w:rsid w:val="00CC18F6"/>
    <w:rsid w:val="00CC1ED9"/>
    <w:rsid w:val="00CC3095"/>
    <w:rsid w:val="00CC33E8"/>
    <w:rsid w:val="00CC345E"/>
    <w:rsid w:val="00CC3615"/>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2ECE"/>
    <w:rsid w:val="00D27F29"/>
    <w:rsid w:val="00D30F76"/>
    <w:rsid w:val="00D3155B"/>
    <w:rsid w:val="00D4062E"/>
    <w:rsid w:val="00D412CD"/>
    <w:rsid w:val="00D41357"/>
    <w:rsid w:val="00D42DEF"/>
    <w:rsid w:val="00D44AA8"/>
    <w:rsid w:val="00D452EC"/>
    <w:rsid w:val="00D474D7"/>
    <w:rsid w:val="00D5056B"/>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7781B"/>
    <w:rsid w:val="00D8452A"/>
    <w:rsid w:val="00D948B0"/>
    <w:rsid w:val="00D95581"/>
    <w:rsid w:val="00D969AF"/>
    <w:rsid w:val="00D9781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E696D"/>
    <w:rsid w:val="00DF6406"/>
    <w:rsid w:val="00E00338"/>
    <w:rsid w:val="00E014B7"/>
    <w:rsid w:val="00E0191C"/>
    <w:rsid w:val="00E01AF2"/>
    <w:rsid w:val="00E01FFD"/>
    <w:rsid w:val="00E0222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2582"/>
    <w:rsid w:val="00E72767"/>
    <w:rsid w:val="00E74759"/>
    <w:rsid w:val="00E74D19"/>
    <w:rsid w:val="00E75009"/>
    <w:rsid w:val="00E751AF"/>
    <w:rsid w:val="00E752BB"/>
    <w:rsid w:val="00E77CCF"/>
    <w:rsid w:val="00E82FA2"/>
    <w:rsid w:val="00E83411"/>
    <w:rsid w:val="00E86601"/>
    <w:rsid w:val="00E87F48"/>
    <w:rsid w:val="00E87FDC"/>
    <w:rsid w:val="00E906A2"/>
    <w:rsid w:val="00E92759"/>
    <w:rsid w:val="00E93D63"/>
    <w:rsid w:val="00E93FD7"/>
    <w:rsid w:val="00EA022C"/>
    <w:rsid w:val="00EA38F2"/>
    <w:rsid w:val="00EA4E89"/>
    <w:rsid w:val="00EB4348"/>
    <w:rsid w:val="00EB6068"/>
    <w:rsid w:val="00EC067C"/>
    <w:rsid w:val="00EC0D39"/>
    <w:rsid w:val="00EC1EB9"/>
    <w:rsid w:val="00EC24E6"/>
    <w:rsid w:val="00EC4D4A"/>
    <w:rsid w:val="00EC6781"/>
    <w:rsid w:val="00EC7926"/>
    <w:rsid w:val="00ED14E9"/>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11F70"/>
    <w:rsid w:val="00F1270E"/>
    <w:rsid w:val="00F1364A"/>
    <w:rsid w:val="00F14F20"/>
    <w:rsid w:val="00F15B4C"/>
    <w:rsid w:val="00F249BF"/>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4A13"/>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277"/>
    <w:rsid w:val="00FD0BBE"/>
    <w:rsid w:val="00FD17FF"/>
    <w:rsid w:val="00FD397A"/>
    <w:rsid w:val="00FD5493"/>
    <w:rsid w:val="00FD6485"/>
    <w:rsid w:val="00FD664B"/>
    <w:rsid w:val="00FD74C7"/>
    <w:rsid w:val="00FE09D5"/>
    <w:rsid w:val="00FE0CBB"/>
    <w:rsid w:val="00FE3384"/>
    <w:rsid w:val="00FE46FF"/>
    <w:rsid w:val="00FE62DF"/>
    <w:rsid w:val="00FE6C7E"/>
    <w:rsid w:val="00FE7491"/>
    <w:rsid w:val="00FE765B"/>
    <w:rsid w:val="00FF012B"/>
    <w:rsid w:val="00FF39C1"/>
    <w:rsid w:val="00FF50E3"/>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3793"/>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ManualConsidrant">
    <w:name w:val="Manual Considérant"/>
    <w:basedOn w:val="Normal"/>
    <w:rsid w:val="009D2705"/>
    <w:pPr>
      <w:spacing w:before="120" w:after="120" w:line="240" w:lineRule="auto"/>
      <w:ind w:left="709" w:hanging="709"/>
      <w:jc w:val="both"/>
    </w:pPr>
    <w:rPr>
      <w:rFonts w:eastAsiaTheme="minorHAnsi"/>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41592892">
      <w:bodyDiv w:val="1"/>
      <w:marLeft w:val="0"/>
      <w:marRight w:val="0"/>
      <w:marTop w:val="0"/>
      <w:marBottom w:val="0"/>
      <w:divBdr>
        <w:top w:val="none" w:sz="0" w:space="0" w:color="auto"/>
        <w:left w:val="none" w:sz="0" w:space="0" w:color="auto"/>
        <w:bottom w:val="none" w:sz="0" w:space="0" w:color="auto"/>
        <w:right w:val="none" w:sz="0" w:space="0" w:color="auto"/>
      </w:divBdr>
    </w:div>
    <w:div w:id="352924201">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46505990">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1305082">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07787109">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7E31-FB6D-40CE-BFDA-697F2D19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1556</Words>
  <Characters>9276</Characters>
  <Application>Microsoft Office Word</Application>
  <DocSecurity>0</DocSecurity>
  <Lines>215</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BIANCHIN Raffaella (SG)</cp:lastModifiedBy>
  <cp:revision>4</cp:revision>
  <cp:lastPrinted>2019-01-09T14:37:00Z</cp:lastPrinted>
  <dcterms:created xsi:type="dcterms:W3CDTF">2022-02-02T13:53:00Z</dcterms:created>
  <dcterms:modified xsi:type="dcterms:W3CDTF">2022-02-02T13:59:00Z</dcterms:modified>
</cp:coreProperties>
</file>