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5DAAA562" w:rsidR="00550220" w:rsidRPr="00614FB9" w:rsidRDefault="00550220" w:rsidP="00550220">
      <w:pPr>
        <w:pStyle w:val="Date"/>
        <w:spacing w:after="360" w:line="240" w:lineRule="auto"/>
        <w:ind w:left="5823" w:hanging="11"/>
        <w:rPr>
          <w:szCs w:val="24"/>
          <w:lang w:val="en-IE"/>
        </w:rPr>
      </w:pPr>
      <w:r w:rsidRPr="00FD0277">
        <w:rPr>
          <w:lang w:val="en-IE"/>
        </w:rPr>
        <w:t xml:space="preserve">Brussels, </w:t>
      </w:r>
      <w:r w:rsidR="001B0C8F">
        <w:rPr>
          <w:lang w:val="en-IE"/>
        </w:rPr>
        <w:t>30</w:t>
      </w:r>
      <w:r w:rsidR="00871DB9" w:rsidRPr="00B00E5E">
        <w:rPr>
          <w:lang w:val="en-IE"/>
        </w:rPr>
        <w:t xml:space="preserve"> </w:t>
      </w:r>
      <w:r w:rsidR="001D46B0" w:rsidRPr="00B00E5E">
        <w:rPr>
          <w:lang w:val="en-IE"/>
        </w:rPr>
        <w:t>March</w:t>
      </w:r>
      <w:r w:rsidRPr="00FD0277">
        <w:rPr>
          <w:lang w:val="en-IE"/>
        </w:rPr>
        <w:t xml:space="preserve"> </w:t>
      </w:r>
      <w:r w:rsidRPr="00FD0277">
        <w:rPr>
          <w:szCs w:val="24"/>
          <w:lang w:val="en-IE"/>
        </w:rPr>
        <w:t>202</w:t>
      </w:r>
      <w:r w:rsidR="00E72582">
        <w:rPr>
          <w:szCs w:val="24"/>
          <w:lang w:val="en-IE"/>
        </w:rPr>
        <w:t>2</w:t>
      </w:r>
    </w:p>
    <w:p w14:paraId="41856871" w14:textId="113256BA" w:rsidR="00550220" w:rsidRPr="00614FB9" w:rsidRDefault="00550220" w:rsidP="00550220">
      <w:pPr>
        <w:rPr>
          <w:b/>
          <w:lang w:val="en-IE"/>
        </w:rPr>
      </w:pPr>
      <w:r w:rsidRPr="00614FB9">
        <w:rPr>
          <w:b/>
          <w:lang w:val="en-IE"/>
        </w:rPr>
        <w:t>SP(20</w:t>
      </w:r>
      <w:r w:rsidR="000F67B9">
        <w:rPr>
          <w:b/>
          <w:lang w:val="en-IE"/>
        </w:rPr>
        <w:t>2</w:t>
      </w:r>
      <w:r w:rsidR="00E72582">
        <w:rPr>
          <w:b/>
          <w:lang w:val="en-IE"/>
        </w:rPr>
        <w:t>2</w:t>
      </w:r>
      <w:r w:rsidRPr="00614FB9">
        <w:rPr>
          <w:b/>
          <w:lang w:val="en-IE"/>
        </w:rPr>
        <w:t>) </w:t>
      </w:r>
      <w:r w:rsidR="007D0B64">
        <w:rPr>
          <w:b/>
          <w:lang w:val="en-IE"/>
        </w:rPr>
        <w:t>180</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43D53122" w:rsidR="00550220" w:rsidRPr="000F59AB" w:rsidRDefault="00661375" w:rsidP="000F59AB">
      <w:pPr>
        <w:pStyle w:val="Subject"/>
        <w:spacing w:after="720"/>
        <w:ind w:left="0" w:right="-28" w:firstLine="0"/>
        <w:jc w:val="center"/>
        <w:rPr>
          <w:rFonts w:ascii="Times New Roman" w:hAnsi="Times New Roman"/>
          <w:sz w:val="32"/>
          <w:u w:val="single"/>
        </w:rPr>
      </w:pPr>
      <w:bookmarkStart w:id="0" w:name="_GoBack"/>
      <w:r w:rsidRPr="000F59AB">
        <w:rPr>
          <w:rFonts w:ascii="Times New Roman" w:hAnsi="Times New Roman"/>
          <w:sz w:val="32"/>
        </w:rPr>
        <w:t xml:space="preserve">Replies of the </w:t>
      </w:r>
      <w:r w:rsidR="00550220" w:rsidRPr="000F59AB">
        <w:rPr>
          <w:rFonts w:ascii="Times New Roman" w:hAnsi="Times New Roman"/>
          <w:sz w:val="32"/>
        </w:rPr>
        <w:t xml:space="preserve">Commission </w:t>
      </w:r>
      <w:r w:rsidRPr="000F59AB">
        <w:rPr>
          <w:rFonts w:ascii="Times New Roman" w:hAnsi="Times New Roman"/>
          <w:sz w:val="32"/>
        </w:rPr>
        <w:t>to</w:t>
      </w:r>
      <w:r w:rsidR="00550220" w:rsidRPr="000F59AB">
        <w:rPr>
          <w:rFonts w:ascii="Times New Roman" w:hAnsi="Times New Roman"/>
          <w:sz w:val="32"/>
        </w:rPr>
        <w:t xml:space="preserve"> po</w:t>
      </w:r>
      <w:r w:rsidR="00953B1D" w:rsidRPr="000F59AB">
        <w:rPr>
          <w:rFonts w:ascii="Times New Roman" w:hAnsi="Times New Roman"/>
          <w:sz w:val="32"/>
        </w:rPr>
        <w:t xml:space="preserve">sitions and resolutions adopted </w:t>
      </w:r>
      <w:r w:rsidR="00953B1D" w:rsidRPr="000F59AB">
        <w:rPr>
          <w:rFonts w:ascii="Times New Roman" w:hAnsi="Times New Roman"/>
          <w:sz w:val="32"/>
        </w:rPr>
        <w:br/>
      </w:r>
      <w:r w:rsidR="00550220" w:rsidRPr="000F59AB">
        <w:rPr>
          <w:rFonts w:ascii="Times New Roman" w:hAnsi="Times New Roman"/>
          <w:sz w:val="32"/>
        </w:rPr>
        <w:t>by the European Parliament –</w:t>
      </w:r>
      <w:r w:rsidR="008600BB" w:rsidRPr="000F59AB">
        <w:rPr>
          <w:rFonts w:ascii="Times New Roman" w:hAnsi="Times New Roman"/>
          <w:sz w:val="32"/>
        </w:rPr>
        <w:t xml:space="preserve"> </w:t>
      </w:r>
      <w:r w:rsidR="000A52AB" w:rsidRPr="000F59AB">
        <w:rPr>
          <w:rFonts w:ascii="Times New Roman" w:hAnsi="Times New Roman"/>
          <w:sz w:val="32"/>
        </w:rPr>
        <w:t>March I</w:t>
      </w:r>
      <w:r w:rsidR="009447FF" w:rsidRPr="000F59AB">
        <w:rPr>
          <w:rFonts w:ascii="Times New Roman" w:hAnsi="Times New Roman"/>
          <w:sz w:val="32"/>
        </w:rPr>
        <w:t xml:space="preserve"> </w:t>
      </w:r>
      <w:r w:rsidR="00E72582" w:rsidRPr="000F59AB">
        <w:rPr>
          <w:rFonts w:ascii="Times New Roman" w:hAnsi="Times New Roman"/>
          <w:sz w:val="32"/>
        </w:rPr>
        <w:t>202</w:t>
      </w:r>
      <w:r w:rsidR="00871DB9" w:rsidRPr="000F59AB">
        <w:rPr>
          <w:rFonts w:ascii="Times New Roman" w:hAnsi="Times New Roman"/>
          <w:sz w:val="32"/>
        </w:rPr>
        <w:t>2</w:t>
      </w:r>
      <w:r w:rsidR="00550220" w:rsidRPr="000F59AB">
        <w:rPr>
          <w:rFonts w:ascii="Times New Roman" w:hAnsi="Times New Roman"/>
          <w:sz w:val="32"/>
        </w:rPr>
        <w:t xml:space="preserve"> part-session</w:t>
      </w:r>
    </w:p>
    <w:bookmarkEnd w:id="0"/>
    <w:p w14:paraId="7883C972" w14:textId="4B79B377"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0A52AB">
        <w:rPr>
          <w:b/>
          <w:sz w:val="22"/>
          <w:lang w:val="en-GB"/>
        </w:rPr>
        <w:t>MARCH I</w:t>
      </w:r>
      <w:r w:rsidR="009447FF">
        <w:rPr>
          <w:b/>
          <w:sz w:val="22"/>
          <w:lang w:val="en-GB"/>
        </w:rPr>
        <w:t xml:space="preserve"> </w:t>
      </w:r>
      <w:r w:rsidR="00AF05BB">
        <w:rPr>
          <w:b/>
          <w:sz w:val="22"/>
          <w:lang w:val="en-GB"/>
        </w:rPr>
        <w:t>202</w:t>
      </w:r>
      <w:r w:rsidR="00FD0412">
        <w:rPr>
          <w:b/>
          <w:sz w:val="22"/>
          <w:lang w:val="en-GB"/>
        </w:rPr>
        <w:t>2</w:t>
      </w:r>
      <w:r w:rsidRPr="00EE64E6">
        <w:rPr>
          <w:b/>
          <w:sz w:val="22"/>
          <w:lang w:val="en-GB"/>
        </w:rPr>
        <w:t xml:space="preserve"> PART-SESSION.</w:t>
      </w:r>
    </w:p>
    <w:p w14:paraId="72D41285" w14:textId="753D8A6C"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PARLIAMENT DURING THE SAME PART-SESSION,</w:t>
      </w:r>
      <w:r w:rsidR="00717BF5">
        <w:rPr>
          <w:b/>
          <w:sz w:val="22"/>
          <w:lang w:val="en-GB"/>
        </w:rPr>
        <w:t xml:space="preserve"> </w:t>
      </w:r>
      <w:r w:rsidRPr="00EE64E6">
        <w:rPr>
          <w:b/>
          <w:sz w:val="22"/>
          <w:lang w:val="en-GB"/>
        </w:rPr>
        <w:t>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t>CONTENTS</w:t>
      </w:r>
    </w:p>
    <w:p w14:paraId="02A5C0AE" w14:textId="3D93AA75" w:rsidR="00E77CCF" w:rsidRDefault="000F59AB"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64FF2265" w14:textId="416A4D94" w:rsidR="00E77CCF" w:rsidRDefault="00E77CCF" w:rsidP="00E77CCF">
      <w:pPr>
        <w:spacing w:before="360" w:after="360" w:line="240" w:lineRule="auto"/>
        <w:ind w:left="720"/>
        <w:rPr>
          <w:rStyle w:val="Hyperlink"/>
          <w:b/>
          <w:smallCaps/>
          <w:lang w:val="en-GB"/>
        </w:rPr>
      </w:pPr>
      <w:r w:rsidRPr="00D7781B">
        <w:rPr>
          <w:b/>
          <w:smallCaps/>
          <w:lang w:val="en-GB"/>
        </w:rPr>
        <w:t xml:space="preserve">Ordinary legislative procedure </w:t>
      </w:r>
      <w:r w:rsidRPr="00D7781B">
        <w:rPr>
          <w:szCs w:val="24"/>
          <w:lang w:val="en-GB"/>
        </w:rPr>
        <w:t>–</w:t>
      </w:r>
      <w:r w:rsidRPr="00D7781B">
        <w:rPr>
          <w:b/>
          <w:smallCaps/>
          <w:lang w:val="en-GB"/>
        </w:rPr>
        <w:t xml:space="preserve"> First reading</w:t>
      </w:r>
    </w:p>
    <w:p w14:paraId="2413B64F" w14:textId="420F9977" w:rsidR="00E77CCF" w:rsidRPr="00F2584D" w:rsidRDefault="000F59AB" w:rsidP="00A36E60">
      <w:pPr>
        <w:pStyle w:val="ListParagraph"/>
        <w:numPr>
          <w:ilvl w:val="0"/>
          <w:numId w:val="40"/>
        </w:numPr>
        <w:spacing w:after="240" w:line="240" w:lineRule="auto"/>
        <w:ind w:left="1434" w:hanging="357"/>
        <w:contextualSpacing w:val="0"/>
        <w:jc w:val="both"/>
        <w:rPr>
          <w:rStyle w:val="Hyperlink"/>
          <w:color w:val="auto"/>
          <w:u w:val="none"/>
          <w:lang w:val="en-GB"/>
        </w:rPr>
      </w:pPr>
      <w:hyperlink w:anchor="Agriculture" w:history="1">
        <w:r w:rsidR="00F2584D" w:rsidRPr="00F2584D">
          <w:rPr>
            <w:rStyle w:val="Hyperlink"/>
            <w:bCs/>
            <w:szCs w:val="24"/>
            <w:u w:val="none"/>
            <w:shd w:val="clear" w:color="auto" w:fill="FFFFFF"/>
            <w:lang w:val="en-GB"/>
          </w:rPr>
          <w:t>Regional economic accounts for agriculture</w:t>
        </w:r>
      </w:hyperlink>
    </w:p>
    <w:p w14:paraId="2A049483" w14:textId="30FF094F" w:rsidR="00F2584D" w:rsidRPr="00F2584D" w:rsidRDefault="000F59AB" w:rsidP="00A36E60">
      <w:pPr>
        <w:pStyle w:val="ListParagraph"/>
        <w:numPr>
          <w:ilvl w:val="0"/>
          <w:numId w:val="40"/>
        </w:numPr>
        <w:spacing w:after="240" w:line="240" w:lineRule="auto"/>
        <w:ind w:left="1434" w:hanging="357"/>
        <w:contextualSpacing w:val="0"/>
        <w:jc w:val="both"/>
        <w:rPr>
          <w:lang w:val="en-GB"/>
        </w:rPr>
      </w:pPr>
      <w:hyperlink w:anchor="Actionprogramme" w:history="1">
        <w:r w:rsidR="00F2584D" w:rsidRPr="00F2584D">
          <w:rPr>
            <w:rStyle w:val="Hyperlink"/>
            <w:bCs/>
            <w:szCs w:val="24"/>
            <w:u w:val="none"/>
            <w:shd w:val="clear" w:color="auto" w:fill="FFFFFF"/>
            <w:lang w:val="en-GB"/>
          </w:rPr>
          <w:t>Environment Action Programme to 2030</w:t>
        </w:r>
      </w:hyperlink>
    </w:p>
    <w:p w14:paraId="20EEE92F" w14:textId="615A6109" w:rsidR="00E77CCF" w:rsidRPr="00E77CCF" w:rsidRDefault="000F59AB"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1" w:name="PARTONE"/>
      <w:r w:rsidRPr="00EE64E6">
        <w:rPr>
          <w:b/>
          <w:sz w:val="48"/>
          <w:lang w:val="en-GB"/>
        </w:rPr>
        <w:t>Part One</w:t>
      </w:r>
      <w:r w:rsidRPr="00EE64E6">
        <w:rPr>
          <w:lang w:val="en-GB"/>
        </w:rPr>
        <w:br/>
      </w:r>
      <w:r w:rsidRPr="00EE64E6">
        <w:rPr>
          <w:b/>
          <w:sz w:val="48"/>
          <w:lang w:val="en-GB"/>
        </w:rPr>
        <w:t>Legislative opinions</w:t>
      </w:r>
    </w:p>
    <w:bookmarkEnd w:id="1"/>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7A200CA5" w14:textId="77777777" w:rsidR="00F2584D" w:rsidRPr="00FC0CF0" w:rsidRDefault="00F2584D" w:rsidP="00F2584D">
      <w:pPr>
        <w:spacing w:after="240" w:line="240" w:lineRule="auto"/>
        <w:jc w:val="center"/>
        <w:rPr>
          <w:lang w:val="en-GB"/>
        </w:rPr>
      </w:pPr>
      <w:bookmarkStart w:id="2" w:name="FADO"/>
      <w:r w:rsidRPr="00FC0CF0">
        <w:rPr>
          <w:b/>
          <w:lang w:val="en-GB"/>
        </w:rPr>
        <w:t xml:space="preserve">ORDINARY LEGISLATIVE </w:t>
      </w:r>
      <w:r w:rsidRPr="00FC0CF0">
        <w:rPr>
          <w:b/>
          <w:caps/>
          <w:lang w:val="en-GB"/>
        </w:rPr>
        <w:t>procedure</w:t>
      </w:r>
      <w:r w:rsidRPr="00FC0CF0">
        <w:rPr>
          <w:b/>
          <w:lang w:val="en-GB"/>
        </w:rPr>
        <w:t xml:space="preserve"> – First reading</w:t>
      </w:r>
    </w:p>
    <w:p w14:paraId="3A921911" w14:textId="77777777" w:rsidR="00F2584D" w:rsidRPr="00BC3F44" w:rsidRDefault="00F2584D" w:rsidP="00F2584D">
      <w:pPr>
        <w:spacing w:after="600"/>
        <w:jc w:val="center"/>
        <w:rPr>
          <w:b/>
          <w:bCs/>
          <w:szCs w:val="24"/>
          <w:lang w:val="en-GB"/>
        </w:rPr>
      </w:pPr>
      <w:bookmarkStart w:id="3" w:name="Agriculture"/>
      <w:bookmarkEnd w:id="2"/>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BC3F44">
        <w:rPr>
          <w:b/>
          <w:bCs/>
          <w:szCs w:val="24"/>
          <w:shd w:val="clear" w:color="auto" w:fill="FFFFFF"/>
          <w:lang w:val="en-GB"/>
        </w:rPr>
        <w:t>on the proposal for a regulation of the European Parliament and of the Council amending Regulation (EC) No 138/2004 of the European Parliament and of the Council as regards regional economic accounts for agriculture</w:t>
      </w:r>
      <w:bookmarkEnd w:id="3"/>
    </w:p>
    <w:p w14:paraId="11D87639" w14:textId="19343D3F" w:rsidR="00F2584D" w:rsidRPr="00FD5BA5" w:rsidRDefault="00F2584D" w:rsidP="00F2584D">
      <w:pPr>
        <w:spacing w:before="100" w:beforeAutospacing="1" w:after="100" w:afterAutospacing="1"/>
        <w:ind w:left="567" w:hanging="567"/>
        <w:jc w:val="both"/>
        <w:rPr>
          <w:szCs w:val="24"/>
          <w:lang w:val="en-GB"/>
        </w:rPr>
      </w:pPr>
      <w:r w:rsidRPr="00FD5BA5">
        <w:rPr>
          <w:b/>
          <w:lang w:val="en-GB"/>
        </w:rPr>
        <w:t>1.</w:t>
      </w:r>
      <w:r w:rsidRPr="00FD5BA5">
        <w:rPr>
          <w:b/>
          <w:lang w:val="en-GB"/>
        </w:rPr>
        <w:tab/>
        <w:t xml:space="preserve">Rapporteur: </w:t>
      </w:r>
      <w:r w:rsidRPr="00BC3F44">
        <w:rPr>
          <w:color w:val="1E1E1F"/>
          <w:szCs w:val="24"/>
          <w:lang w:val="en-GB"/>
        </w:rPr>
        <w:t xml:space="preserve">Petros KOKKALIS </w:t>
      </w:r>
      <w:r w:rsidRPr="00FD5BA5">
        <w:rPr>
          <w:color w:val="1E1E1F"/>
          <w:szCs w:val="24"/>
          <w:lang w:val="en-GB"/>
        </w:rPr>
        <w:t>(</w:t>
      </w:r>
      <w:r>
        <w:rPr>
          <w:color w:val="1E1E1F"/>
          <w:szCs w:val="24"/>
          <w:lang w:val="en-GB"/>
        </w:rPr>
        <w:t>The Left</w:t>
      </w:r>
      <w:r w:rsidRPr="00FD5BA5">
        <w:rPr>
          <w:color w:val="1E1E1F"/>
          <w:szCs w:val="24"/>
          <w:lang w:val="en-GB"/>
        </w:rPr>
        <w:t xml:space="preserve"> / </w:t>
      </w:r>
      <w:r w:rsidR="00B14565">
        <w:rPr>
          <w:color w:val="1E1E1F"/>
          <w:szCs w:val="24"/>
          <w:lang w:val="en-GB"/>
        </w:rPr>
        <w:t>EL</w:t>
      </w:r>
      <w:r w:rsidRPr="00FD5BA5">
        <w:rPr>
          <w:color w:val="1E1E1F"/>
          <w:szCs w:val="24"/>
          <w:lang w:val="en-GB"/>
        </w:rPr>
        <w:t>)</w:t>
      </w:r>
    </w:p>
    <w:p w14:paraId="383C2267" w14:textId="77777777" w:rsidR="00F2584D" w:rsidRPr="00AC338E" w:rsidRDefault="00F2584D" w:rsidP="00F2584D">
      <w:pPr>
        <w:spacing w:before="100" w:beforeAutospacing="1" w:after="100" w:afterAutospacing="1"/>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031</w:t>
      </w:r>
      <w:r w:rsidRPr="00AC338E">
        <w:rPr>
          <w:lang w:val="en-GB"/>
        </w:rPr>
        <w:t xml:space="preserve"> (COD) / A</w:t>
      </w:r>
      <w:r>
        <w:rPr>
          <w:lang w:val="en-GB"/>
        </w:rPr>
        <w:t>9</w:t>
      </w:r>
      <w:r w:rsidRPr="00AC338E">
        <w:rPr>
          <w:lang w:val="en-GB"/>
        </w:rPr>
        <w:t>-0</w:t>
      </w:r>
      <w:r>
        <w:rPr>
          <w:lang w:val="en-GB"/>
        </w:rPr>
        <w:t>282</w:t>
      </w:r>
      <w:r w:rsidRPr="00AC338E">
        <w:rPr>
          <w:lang w:val="en-GB"/>
        </w:rPr>
        <w:t>/20</w:t>
      </w:r>
      <w:r>
        <w:rPr>
          <w:lang w:val="en-GB"/>
        </w:rPr>
        <w:t>21</w:t>
      </w:r>
      <w:r w:rsidRPr="00AC338E">
        <w:rPr>
          <w:lang w:val="en-GB"/>
        </w:rPr>
        <w:t xml:space="preserve"> / P9_TA-PROV(202</w:t>
      </w:r>
      <w:r>
        <w:rPr>
          <w:lang w:val="en-GB"/>
        </w:rPr>
        <w:t>2</w:t>
      </w:r>
      <w:r w:rsidRPr="00AC338E">
        <w:rPr>
          <w:lang w:val="en-GB"/>
        </w:rPr>
        <w:t>)</w:t>
      </w:r>
      <w:r>
        <w:rPr>
          <w:lang w:val="en-GB"/>
        </w:rPr>
        <w:t>0053</w:t>
      </w:r>
    </w:p>
    <w:p w14:paraId="76009E02" w14:textId="77777777" w:rsidR="00F2584D" w:rsidRPr="00FC0CF0" w:rsidRDefault="00F2584D" w:rsidP="00F2584D">
      <w:pPr>
        <w:spacing w:before="100" w:beforeAutospacing="1" w:after="100" w:afterAutospacing="1"/>
        <w:ind w:left="567" w:hanging="567"/>
        <w:rPr>
          <w:lang w:val="en-GB"/>
        </w:rPr>
      </w:pPr>
      <w:r w:rsidRPr="00FC0CF0">
        <w:rPr>
          <w:b/>
          <w:lang w:val="en-GB"/>
        </w:rPr>
        <w:t>3.</w:t>
      </w:r>
      <w:r w:rsidRPr="00FC0CF0">
        <w:rPr>
          <w:b/>
          <w:lang w:val="en-GB"/>
        </w:rPr>
        <w:tab/>
        <w:t xml:space="preserve">Date of adoption of the resolution: </w:t>
      </w:r>
      <w:r>
        <w:rPr>
          <w:lang w:val="en-GB"/>
        </w:rPr>
        <w:t xml:space="preserve">8 March </w:t>
      </w:r>
      <w:r w:rsidRPr="007859CD">
        <w:rPr>
          <w:lang w:val="en-GB"/>
        </w:rPr>
        <w:t>202</w:t>
      </w:r>
      <w:r>
        <w:rPr>
          <w:lang w:val="en-GB"/>
        </w:rPr>
        <w:t>2</w:t>
      </w:r>
    </w:p>
    <w:p w14:paraId="10BAB5B4" w14:textId="77777777" w:rsidR="00F2584D" w:rsidRPr="00FD5BA5" w:rsidRDefault="00F2584D" w:rsidP="00F2584D">
      <w:pPr>
        <w:spacing w:before="100" w:beforeAutospacing="1" w:after="100" w:afterAutospacing="1"/>
        <w:ind w:left="567" w:hanging="567"/>
        <w:jc w:val="both"/>
        <w:rPr>
          <w:lang w:val="en-GB"/>
        </w:rPr>
      </w:pPr>
      <w:r w:rsidRPr="00FC0CF0">
        <w:rPr>
          <w:b/>
          <w:lang w:val="en-GB"/>
        </w:rPr>
        <w:t>4.</w:t>
      </w:r>
      <w:r w:rsidRPr="00FC0CF0">
        <w:rPr>
          <w:b/>
          <w:lang w:val="en-GB"/>
        </w:rPr>
        <w:tab/>
        <w:t xml:space="preserve">Legal basis: </w:t>
      </w:r>
      <w:r w:rsidRPr="00BC3F44">
        <w:rPr>
          <w:szCs w:val="24"/>
          <w:lang w:val="en-GB"/>
        </w:rPr>
        <w:t>Article</w:t>
      </w:r>
      <w:r>
        <w:rPr>
          <w:szCs w:val="24"/>
          <w:lang w:val="en-GB"/>
        </w:rPr>
        <w:t xml:space="preserve"> </w:t>
      </w:r>
      <w:r w:rsidRPr="00BC3F44">
        <w:rPr>
          <w:szCs w:val="24"/>
          <w:lang w:val="en-GB"/>
        </w:rPr>
        <w:t xml:space="preserve">338(1) </w:t>
      </w:r>
      <w:r w:rsidRPr="00FD5BA5">
        <w:rPr>
          <w:szCs w:val="24"/>
          <w:lang w:val="en-GB"/>
        </w:rPr>
        <w:t>of the Treaty on the Functioning of the European Union</w:t>
      </w:r>
    </w:p>
    <w:p w14:paraId="65D98159" w14:textId="77777777" w:rsidR="00F2584D" w:rsidRPr="00FC0CF0" w:rsidRDefault="00F2584D" w:rsidP="00F2584D">
      <w:pPr>
        <w:shd w:val="clear" w:color="auto" w:fill="FFFFFF"/>
        <w:spacing w:after="100" w:afterAutospacing="1"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Agriculture and Rural Development (AGRI)</w:t>
      </w:r>
    </w:p>
    <w:p w14:paraId="0AC9A6CD" w14:textId="64440DB2" w:rsidR="00F2584D" w:rsidRDefault="00F2584D" w:rsidP="00710BA3">
      <w:pPr>
        <w:spacing w:after="200" w:line="276" w:lineRule="auto"/>
        <w:ind w:left="567" w:hanging="567"/>
        <w:rPr>
          <w:szCs w:val="24"/>
          <w:lang w:val="en-IE"/>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Pr>
          <w:szCs w:val="24"/>
          <w:lang w:val="en-IE"/>
        </w:rPr>
        <w:br w:type="page"/>
      </w:r>
    </w:p>
    <w:p w14:paraId="10DF813A" w14:textId="77777777" w:rsidR="00F2584D" w:rsidRPr="00FC0CF0" w:rsidRDefault="00F2584D" w:rsidP="00F2584D">
      <w:pPr>
        <w:spacing w:after="240" w:line="240" w:lineRule="auto"/>
        <w:jc w:val="center"/>
        <w:rPr>
          <w:lang w:val="en-GB"/>
        </w:rPr>
      </w:pPr>
      <w:r w:rsidRPr="00FC0CF0">
        <w:rPr>
          <w:b/>
          <w:lang w:val="en-GB"/>
        </w:rPr>
        <w:t xml:space="preserve">ORDINARY LEGISLATIVE </w:t>
      </w:r>
      <w:r w:rsidRPr="00FC0CF0">
        <w:rPr>
          <w:b/>
          <w:caps/>
          <w:lang w:val="en-GB"/>
        </w:rPr>
        <w:t>procedure</w:t>
      </w:r>
      <w:r w:rsidRPr="00FC0CF0">
        <w:rPr>
          <w:b/>
          <w:lang w:val="en-GB"/>
        </w:rPr>
        <w:t xml:space="preserve"> – First reading</w:t>
      </w:r>
    </w:p>
    <w:p w14:paraId="696D3BED" w14:textId="77777777" w:rsidR="00F2584D" w:rsidRPr="00F7050D" w:rsidRDefault="00F2584D" w:rsidP="00F2584D">
      <w:pPr>
        <w:spacing w:after="600"/>
        <w:jc w:val="center"/>
        <w:rPr>
          <w:b/>
          <w:bCs/>
          <w:szCs w:val="24"/>
          <w:lang w:val="en-GB"/>
        </w:rPr>
      </w:pPr>
      <w:bookmarkStart w:id="4" w:name="Actionprogramme"/>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F7050D">
        <w:rPr>
          <w:b/>
          <w:bCs/>
          <w:szCs w:val="24"/>
          <w:shd w:val="clear" w:color="auto" w:fill="FFFFFF"/>
          <w:lang w:val="en-GB"/>
        </w:rPr>
        <w:t>on the proposal for a decision of the European Parliament and of the Council on a General Union Environment Action Programme to 2030</w:t>
      </w:r>
      <w:bookmarkEnd w:id="4"/>
    </w:p>
    <w:p w14:paraId="1EA0D33C" w14:textId="77777777" w:rsidR="00F2584D" w:rsidRPr="000F59AB" w:rsidRDefault="00F2584D" w:rsidP="00F2584D">
      <w:pPr>
        <w:spacing w:before="100" w:beforeAutospacing="1" w:after="100" w:afterAutospacing="1"/>
        <w:ind w:left="567" w:hanging="567"/>
        <w:jc w:val="both"/>
        <w:rPr>
          <w:szCs w:val="24"/>
          <w:lang w:val="en-GB"/>
        </w:rPr>
      </w:pPr>
      <w:r w:rsidRPr="000F59AB">
        <w:rPr>
          <w:b/>
          <w:lang w:val="en-GB"/>
        </w:rPr>
        <w:t>1.</w:t>
      </w:r>
      <w:r w:rsidRPr="000F59AB">
        <w:rPr>
          <w:b/>
          <w:lang w:val="en-GB"/>
        </w:rPr>
        <w:tab/>
        <w:t xml:space="preserve">Rapporteur: </w:t>
      </w:r>
      <w:r w:rsidRPr="000F59AB">
        <w:rPr>
          <w:color w:val="1E1E1F"/>
          <w:szCs w:val="24"/>
          <w:lang w:val="en-GB"/>
        </w:rPr>
        <w:t>Grace O'SULLIVAN (Greens/EFA / IE)</w:t>
      </w:r>
    </w:p>
    <w:p w14:paraId="1AD45A00" w14:textId="77777777" w:rsidR="00F2584D" w:rsidRPr="00AC338E" w:rsidRDefault="00F2584D" w:rsidP="00F2584D">
      <w:pPr>
        <w:spacing w:before="100" w:beforeAutospacing="1" w:after="100" w:afterAutospacing="1"/>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300</w:t>
      </w:r>
      <w:r w:rsidRPr="00AC338E">
        <w:rPr>
          <w:lang w:val="en-GB"/>
        </w:rPr>
        <w:t xml:space="preserve"> (COD) / A</w:t>
      </w:r>
      <w:r>
        <w:rPr>
          <w:lang w:val="en-GB"/>
        </w:rPr>
        <w:t>9</w:t>
      </w:r>
      <w:r w:rsidRPr="00AC338E">
        <w:rPr>
          <w:lang w:val="en-GB"/>
        </w:rPr>
        <w:t>-0</w:t>
      </w:r>
      <w:r>
        <w:rPr>
          <w:lang w:val="en-GB"/>
        </w:rPr>
        <w:t>203</w:t>
      </w:r>
      <w:r w:rsidRPr="00AC338E">
        <w:rPr>
          <w:lang w:val="en-GB"/>
        </w:rPr>
        <w:t>/20</w:t>
      </w:r>
      <w:r>
        <w:rPr>
          <w:lang w:val="en-GB"/>
        </w:rPr>
        <w:t>21</w:t>
      </w:r>
      <w:r w:rsidRPr="00AC338E">
        <w:rPr>
          <w:lang w:val="en-GB"/>
        </w:rPr>
        <w:t xml:space="preserve"> / P9_TA-PROV(202</w:t>
      </w:r>
      <w:r>
        <w:rPr>
          <w:lang w:val="en-GB"/>
        </w:rPr>
        <w:t>2</w:t>
      </w:r>
      <w:r w:rsidRPr="00AC338E">
        <w:rPr>
          <w:lang w:val="en-GB"/>
        </w:rPr>
        <w:t>)</w:t>
      </w:r>
      <w:r>
        <w:rPr>
          <w:lang w:val="en-GB"/>
        </w:rPr>
        <w:t>00673</w:t>
      </w:r>
    </w:p>
    <w:p w14:paraId="5F8D6420" w14:textId="77777777" w:rsidR="00F2584D" w:rsidRPr="00FC0CF0" w:rsidRDefault="00F2584D" w:rsidP="00F2584D">
      <w:pPr>
        <w:spacing w:before="100" w:beforeAutospacing="1" w:after="100" w:afterAutospacing="1"/>
        <w:ind w:left="567" w:hanging="567"/>
        <w:rPr>
          <w:lang w:val="en-GB"/>
        </w:rPr>
      </w:pPr>
      <w:r w:rsidRPr="00FC0CF0">
        <w:rPr>
          <w:b/>
          <w:lang w:val="en-GB"/>
        </w:rPr>
        <w:t>3.</w:t>
      </w:r>
      <w:r w:rsidRPr="00FC0CF0">
        <w:rPr>
          <w:b/>
          <w:lang w:val="en-GB"/>
        </w:rPr>
        <w:tab/>
        <w:t xml:space="preserve">Date of adoption of the resolution: </w:t>
      </w:r>
      <w:r>
        <w:rPr>
          <w:lang w:val="en-GB"/>
        </w:rPr>
        <w:t xml:space="preserve">10 March </w:t>
      </w:r>
      <w:r w:rsidRPr="007859CD">
        <w:rPr>
          <w:lang w:val="en-GB"/>
        </w:rPr>
        <w:t>202</w:t>
      </w:r>
      <w:r>
        <w:rPr>
          <w:lang w:val="en-GB"/>
        </w:rPr>
        <w:t>2</w:t>
      </w:r>
    </w:p>
    <w:p w14:paraId="4E470D52" w14:textId="77777777" w:rsidR="00F2584D" w:rsidRPr="00FD5BA5" w:rsidRDefault="00F2584D" w:rsidP="00F2584D">
      <w:pPr>
        <w:spacing w:before="100" w:beforeAutospacing="1" w:after="100" w:afterAutospacing="1"/>
        <w:ind w:left="567" w:hanging="567"/>
        <w:jc w:val="both"/>
        <w:rPr>
          <w:lang w:val="en-GB"/>
        </w:rPr>
      </w:pPr>
      <w:r w:rsidRPr="00FC0CF0">
        <w:rPr>
          <w:b/>
          <w:lang w:val="en-GB"/>
        </w:rPr>
        <w:t>4.</w:t>
      </w:r>
      <w:r w:rsidRPr="00FC0CF0">
        <w:rPr>
          <w:b/>
          <w:lang w:val="en-GB"/>
        </w:rPr>
        <w:tab/>
        <w:t xml:space="preserve">Legal basis: </w:t>
      </w:r>
      <w:r w:rsidRPr="00BC3F44">
        <w:rPr>
          <w:szCs w:val="24"/>
          <w:lang w:val="en-GB"/>
        </w:rPr>
        <w:t>Article</w:t>
      </w:r>
      <w:r>
        <w:rPr>
          <w:szCs w:val="24"/>
          <w:lang w:val="en-GB"/>
        </w:rPr>
        <w:t xml:space="preserve"> 192</w:t>
      </w:r>
      <w:r w:rsidRPr="00BC3F44">
        <w:rPr>
          <w:szCs w:val="24"/>
          <w:lang w:val="en-GB"/>
        </w:rPr>
        <w:t>(</w:t>
      </w:r>
      <w:r>
        <w:rPr>
          <w:szCs w:val="24"/>
          <w:lang w:val="en-GB"/>
        </w:rPr>
        <w:t>3</w:t>
      </w:r>
      <w:r w:rsidRPr="00BC3F44">
        <w:rPr>
          <w:szCs w:val="24"/>
          <w:lang w:val="en-GB"/>
        </w:rPr>
        <w:t xml:space="preserve">) </w:t>
      </w:r>
      <w:r w:rsidRPr="00FD5BA5">
        <w:rPr>
          <w:szCs w:val="24"/>
          <w:lang w:val="en-GB"/>
        </w:rPr>
        <w:t>of the Treaty on the Functioning of the European Union</w:t>
      </w:r>
    </w:p>
    <w:p w14:paraId="16D6D9A2" w14:textId="77777777" w:rsidR="00F2584D" w:rsidRPr="00FC0CF0" w:rsidRDefault="00F2584D" w:rsidP="00F2584D">
      <w:pPr>
        <w:shd w:val="clear" w:color="auto" w:fill="FFFFFF"/>
        <w:spacing w:after="100" w:afterAutospacing="1"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Environment, Public Health and Food Safety (ENVI)</w:t>
      </w:r>
    </w:p>
    <w:p w14:paraId="76EEFFE0" w14:textId="4B67E355" w:rsidR="00F2584D" w:rsidRDefault="00F2584D" w:rsidP="00710BA3">
      <w:pPr>
        <w:spacing w:after="200" w:line="276" w:lineRule="auto"/>
        <w:ind w:left="567" w:hanging="567"/>
        <w:rPr>
          <w:szCs w:val="24"/>
          <w:lang w:val="en-IE"/>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Pr>
          <w:szCs w:val="24"/>
          <w:lang w:val="en-IE"/>
        </w:rPr>
        <w:br w:type="page"/>
      </w:r>
    </w:p>
    <w:p w14:paraId="372DB948" w14:textId="77777777" w:rsidR="0026424D" w:rsidRDefault="0026424D" w:rsidP="00BC0646">
      <w:pPr>
        <w:spacing w:after="240" w:line="276" w:lineRule="auto"/>
        <w:ind w:left="567" w:hanging="567"/>
        <w:rPr>
          <w:szCs w:val="24"/>
          <w:lang w:val="en-IE"/>
        </w:rPr>
      </w:pPr>
    </w:p>
    <w:p w14:paraId="4F05E7F2" w14:textId="77777777" w:rsidR="00C10B8E" w:rsidRPr="00135201" w:rsidRDefault="00C10B8E" w:rsidP="00C10B8E">
      <w:pPr>
        <w:spacing w:after="200" w:line="276" w:lineRule="auto"/>
        <w:jc w:val="center"/>
        <w:rPr>
          <w:szCs w:val="24"/>
          <w:lang w:val="en-IE"/>
        </w:rPr>
      </w:pPr>
    </w:p>
    <w:p w14:paraId="7AAD7343" w14:textId="77777777" w:rsidR="00B71FF0" w:rsidRPr="00EE64E6" w:rsidRDefault="00B71FF0" w:rsidP="00B71FF0">
      <w:pPr>
        <w:spacing w:before="5040" w:line="240" w:lineRule="auto"/>
        <w:jc w:val="center"/>
        <w:rPr>
          <w:b/>
          <w:sz w:val="48"/>
          <w:lang w:val="en-GB"/>
        </w:rPr>
      </w:pPr>
      <w:bookmarkStart w:id="5" w:name="PARTTWO"/>
      <w:r w:rsidRPr="00EE64E6">
        <w:rPr>
          <w:b/>
          <w:sz w:val="48"/>
          <w:lang w:val="en-GB"/>
        </w:rPr>
        <w:t>Part Two</w:t>
      </w:r>
      <w:r w:rsidRPr="00EE64E6">
        <w:rPr>
          <w:lang w:val="en-GB"/>
        </w:rPr>
        <w:br/>
      </w:r>
      <w:r w:rsidRPr="00EE64E6">
        <w:rPr>
          <w:b/>
          <w:sz w:val="48"/>
          <w:lang w:val="en-GB"/>
        </w:rPr>
        <w:t>Non-legislative resolutions</w:t>
      </w:r>
    </w:p>
    <w:bookmarkEnd w:id="5"/>
    <w:p w14:paraId="51B4AB06" w14:textId="77777777" w:rsidR="007A1930" w:rsidRDefault="007A1930" w:rsidP="00B71FF0">
      <w:pPr>
        <w:spacing w:after="600" w:line="240" w:lineRule="auto"/>
        <w:jc w:val="center"/>
        <w:rPr>
          <w:lang w:val="en-GB"/>
        </w:rPr>
      </w:pPr>
    </w:p>
    <w:p w14:paraId="6B2BC70D" w14:textId="06BCE4F7"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0A52AB">
        <w:rPr>
          <w:b/>
          <w:sz w:val="22"/>
          <w:lang w:val="en-GB"/>
        </w:rPr>
        <w:t>MARCH I</w:t>
      </w:r>
      <w:r w:rsidR="009447FF">
        <w:rPr>
          <w:b/>
          <w:sz w:val="22"/>
          <w:lang w:val="en-GB"/>
        </w:rPr>
        <w:t xml:space="preserve"> </w:t>
      </w:r>
      <w:r w:rsidR="00E72582">
        <w:rPr>
          <w:b/>
          <w:sz w:val="22"/>
          <w:lang w:val="en-GB"/>
        </w:rPr>
        <w:t>202</w:t>
      </w:r>
      <w:r w:rsidR="00871DB9">
        <w:rPr>
          <w:b/>
          <w:sz w:val="22"/>
          <w:lang w:val="en-GB"/>
        </w:rPr>
        <w:t>2</w:t>
      </w:r>
      <w:r w:rsidR="00E72582" w:rsidRPr="00EE64E6">
        <w:rPr>
          <w:b/>
          <w:sz w:val="22"/>
          <w:lang w:val="en-GB"/>
        </w:rPr>
        <w:t xml:space="preserve"> </w:t>
      </w:r>
      <w:r w:rsidRPr="00C44E52">
        <w:rPr>
          <w:b/>
          <w:sz w:val="22"/>
          <w:lang w:val="en-GB"/>
        </w:rPr>
        <w:t>PART-SESSION</w:t>
      </w:r>
    </w:p>
    <w:p w14:paraId="7996B041" w14:textId="77777777" w:rsidR="00842BB3" w:rsidRDefault="00842BB3" w:rsidP="00842BB3">
      <w:pPr>
        <w:numPr>
          <w:ilvl w:val="0"/>
          <w:numId w:val="48"/>
        </w:numPr>
        <w:spacing w:before="120" w:line="240" w:lineRule="auto"/>
        <w:ind w:left="714" w:hanging="357"/>
        <w:contextualSpacing/>
        <w:jc w:val="both"/>
        <w:rPr>
          <w:lang w:eastAsia="en-US"/>
        </w:rPr>
      </w:pPr>
      <w:r>
        <w:rPr>
          <w:lang w:eastAsia="en-US"/>
        </w:rPr>
        <w:t>EU Gender Action Plan III (2021/2003 (INI))</w:t>
      </w:r>
    </w:p>
    <w:p w14:paraId="24F4A008" w14:textId="77777777" w:rsidR="00842BB3" w:rsidRDefault="00842BB3" w:rsidP="00842BB3">
      <w:pPr>
        <w:ind w:left="720"/>
        <w:rPr>
          <w:lang w:eastAsia="en-US"/>
        </w:rPr>
      </w:pPr>
      <w:r>
        <w:rPr>
          <w:lang w:eastAsia="en-US"/>
        </w:rPr>
        <w:t>EP: A9-0025/2022</w:t>
      </w:r>
    </w:p>
    <w:p w14:paraId="57AC1478" w14:textId="77777777" w:rsidR="00842BB3" w:rsidRDefault="00842BB3" w:rsidP="00842BB3">
      <w:pPr>
        <w:ind w:left="720"/>
        <w:rPr>
          <w:lang w:eastAsia="en-US"/>
        </w:rPr>
      </w:pPr>
      <w:r>
        <w:rPr>
          <w:lang w:eastAsia="en-US"/>
        </w:rPr>
        <w:t>Rapporteur: Chrysoula ZACHAROPOULOU</w:t>
      </w:r>
    </w:p>
    <w:p w14:paraId="7F9A16F5" w14:textId="77777777" w:rsidR="00842BB3" w:rsidRDefault="00842BB3" w:rsidP="00842BB3">
      <w:pPr>
        <w:ind w:left="720"/>
        <w:rPr>
          <w:lang w:eastAsia="en-US"/>
        </w:rPr>
      </w:pPr>
      <w:r>
        <w:rPr>
          <w:lang w:eastAsia="en-US"/>
        </w:rPr>
        <w:t>Date: 09-03-2022</w:t>
      </w:r>
    </w:p>
    <w:p w14:paraId="556FAD43" w14:textId="77777777" w:rsidR="00842BB3" w:rsidRDefault="00842BB3" w:rsidP="00842BB3">
      <w:pPr>
        <w:spacing w:after="120"/>
        <w:ind w:left="720"/>
        <w:rPr>
          <w:lang w:eastAsia="en-US"/>
        </w:rPr>
      </w:pPr>
      <w:r>
        <w:rPr>
          <w:lang w:eastAsia="en-US"/>
        </w:rPr>
        <w:t>Competence: Josep BORRELL FONTELLES, Jutta URPILAINEN</w:t>
      </w:r>
    </w:p>
    <w:p w14:paraId="139FCBC0" w14:textId="16C5E36A" w:rsidR="002D53D4" w:rsidRPr="002D53D4" w:rsidRDefault="002D53D4" w:rsidP="002D53D4">
      <w:pPr>
        <w:spacing w:after="240"/>
        <w:jc w:val="both"/>
        <w:rPr>
          <w:lang w:val="en-GB" w:eastAsia="fr-BE"/>
        </w:rPr>
      </w:pPr>
      <w:r w:rsidRPr="00842BB3">
        <w:rPr>
          <w:lang w:val="en-GB" w:eastAsia="fr-BE"/>
        </w:rPr>
        <w:t xml:space="preserve">Reason: The Commission will not be responding formally to the requests addressed in the resolution as they were comprehensively addressed in plenary by Commissioner </w:t>
      </w:r>
      <w:r w:rsidR="00842BB3" w:rsidRPr="00842BB3">
        <w:rPr>
          <w:lang w:val="en-GB" w:eastAsia="fr-BE"/>
        </w:rPr>
        <w:t>Urpilainen also</w:t>
      </w:r>
      <w:r w:rsidRPr="00842BB3">
        <w:rPr>
          <w:lang w:val="en-GB" w:eastAsia="fr-BE"/>
        </w:rPr>
        <w:t xml:space="preserve"> on behalf of the High Representative</w:t>
      </w:r>
      <w:r w:rsidRPr="002D53D4">
        <w:rPr>
          <w:lang w:val="en-GB" w:eastAsia="fr-BE"/>
        </w:rPr>
        <w:t xml:space="preserve"> / Vice-President Borrell.</w:t>
      </w:r>
    </w:p>
    <w:p w14:paraId="2A107EF3" w14:textId="77777777" w:rsidR="00842BB3" w:rsidRDefault="00842BB3" w:rsidP="00842BB3">
      <w:pPr>
        <w:numPr>
          <w:ilvl w:val="0"/>
          <w:numId w:val="48"/>
        </w:numPr>
        <w:spacing w:line="240" w:lineRule="auto"/>
        <w:jc w:val="both"/>
        <w:rPr>
          <w:lang w:val="en-US" w:eastAsia="en-US"/>
        </w:rPr>
      </w:pPr>
      <w:r>
        <w:rPr>
          <w:lang w:val="en-US" w:eastAsia="en-US"/>
        </w:rPr>
        <w:t>The situation of journalists and human rights defenders in Mexico (2022/2580 (RSP))</w:t>
      </w:r>
    </w:p>
    <w:p w14:paraId="55E2FC7A" w14:textId="77777777" w:rsidR="00842BB3" w:rsidRPr="000F59AB" w:rsidRDefault="00842BB3" w:rsidP="00842BB3">
      <w:pPr>
        <w:ind w:left="720"/>
        <w:rPr>
          <w:rFonts w:eastAsiaTheme="minorHAnsi"/>
          <w:lang w:eastAsia="en-US"/>
        </w:rPr>
      </w:pPr>
      <w:r w:rsidRPr="000F59AB">
        <w:rPr>
          <w:lang w:eastAsia="en-US"/>
        </w:rPr>
        <w:t xml:space="preserve">EP: RC9-0153/2022 </w:t>
      </w:r>
    </w:p>
    <w:p w14:paraId="7FFCCA1B" w14:textId="77777777" w:rsidR="00842BB3" w:rsidRPr="000F59AB" w:rsidRDefault="00842BB3" w:rsidP="00842BB3">
      <w:pPr>
        <w:ind w:left="720"/>
        <w:rPr>
          <w:lang w:eastAsia="en-US"/>
        </w:rPr>
      </w:pPr>
      <w:r w:rsidRPr="000F59AB">
        <w:rPr>
          <w:lang w:eastAsia="en-US"/>
        </w:rPr>
        <w:t>Date: 10-03-2022</w:t>
      </w:r>
    </w:p>
    <w:p w14:paraId="1FE25C55" w14:textId="77777777" w:rsidR="00842BB3" w:rsidRPr="000F59AB" w:rsidRDefault="00842BB3" w:rsidP="00842BB3">
      <w:pPr>
        <w:spacing w:after="120"/>
        <w:ind w:firstLine="720"/>
        <w:rPr>
          <w:lang w:eastAsia="en-US"/>
        </w:rPr>
      </w:pPr>
      <w:r w:rsidRPr="000F59AB">
        <w:rPr>
          <w:lang w:eastAsia="en-US"/>
        </w:rPr>
        <w:t>Competence: Josep BORRELL FONTELLES</w:t>
      </w:r>
    </w:p>
    <w:p w14:paraId="2BB31FE2" w14:textId="77E39B76" w:rsidR="002D53D4" w:rsidRDefault="002D53D4" w:rsidP="002D53D4">
      <w:pPr>
        <w:spacing w:after="240"/>
        <w:jc w:val="both"/>
        <w:rPr>
          <w:lang w:val="en-GB" w:eastAsia="fr-BE"/>
        </w:rPr>
      </w:pPr>
      <w:r w:rsidRPr="00842BB3">
        <w:rPr>
          <w:lang w:val="en-GB" w:eastAsia="fr-BE"/>
        </w:rPr>
        <w:t xml:space="preserve">Reason: The Commission will not be responding formally to the requests addressed in the resolution as they were comprehensively addressed in plenary </w:t>
      </w:r>
      <w:r w:rsidR="00B14565">
        <w:rPr>
          <w:lang w:val="en-GB" w:eastAsia="fr-BE"/>
        </w:rPr>
        <w:t xml:space="preserve">by </w:t>
      </w:r>
      <w:r w:rsidR="00842BB3" w:rsidRPr="00842BB3">
        <w:rPr>
          <w:lang w:val="en-GB" w:eastAsia="fr-BE"/>
        </w:rPr>
        <w:t>Vice-President Jourová</w:t>
      </w:r>
      <w:r w:rsidRPr="00842BB3">
        <w:rPr>
          <w:lang w:val="en-GB" w:eastAsia="fr-BE"/>
        </w:rPr>
        <w:t xml:space="preserve"> on behalf of the High Representative</w:t>
      </w:r>
      <w:r w:rsidRPr="002D53D4">
        <w:rPr>
          <w:lang w:val="en-GB" w:eastAsia="fr-BE"/>
        </w:rPr>
        <w:t xml:space="preserve"> / Vice-President Borrell.</w:t>
      </w:r>
    </w:p>
    <w:p w14:paraId="070D4E0E" w14:textId="77777777" w:rsidR="00842BB3" w:rsidRPr="00842BB3" w:rsidRDefault="00842BB3" w:rsidP="00842BB3">
      <w:pPr>
        <w:widowControl w:val="0"/>
        <w:numPr>
          <w:ilvl w:val="0"/>
          <w:numId w:val="48"/>
        </w:numPr>
        <w:spacing w:before="120" w:line="240" w:lineRule="auto"/>
        <w:ind w:left="714" w:hanging="357"/>
        <w:contextualSpacing/>
        <w:jc w:val="both"/>
        <w:rPr>
          <w:rFonts w:eastAsia="Calibri"/>
          <w:szCs w:val="24"/>
          <w:lang w:val="en-US" w:eastAsia="en-US"/>
        </w:rPr>
      </w:pPr>
      <w:r w:rsidRPr="00842BB3">
        <w:rPr>
          <w:rFonts w:eastAsia="Calibri"/>
          <w:szCs w:val="24"/>
          <w:lang w:val="en-US" w:eastAsia="en-US"/>
        </w:rPr>
        <w:t>Myanmar, one year after the coup (2022/2581 (RSP))</w:t>
      </w:r>
    </w:p>
    <w:p w14:paraId="24781A06" w14:textId="77777777" w:rsidR="00842BB3" w:rsidRPr="000F59AB" w:rsidRDefault="00842BB3" w:rsidP="00842BB3">
      <w:pPr>
        <w:widowControl w:val="0"/>
        <w:spacing w:line="240" w:lineRule="auto"/>
        <w:ind w:left="720"/>
        <w:rPr>
          <w:rFonts w:eastAsia="Calibri"/>
          <w:szCs w:val="24"/>
          <w:lang w:eastAsia="en-US"/>
        </w:rPr>
      </w:pPr>
      <w:r w:rsidRPr="000F59AB">
        <w:rPr>
          <w:rFonts w:eastAsia="Calibri"/>
          <w:szCs w:val="24"/>
          <w:lang w:eastAsia="en-US"/>
        </w:rPr>
        <w:t>EP: RC9-0141/2022</w:t>
      </w:r>
    </w:p>
    <w:p w14:paraId="2E8B0EBB" w14:textId="77777777" w:rsidR="00842BB3" w:rsidRPr="000F59AB" w:rsidRDefault="00842BB3" w:rsidP="00842BB3">
      <w:pPr>
        <w:widowControl w:val="0"/>
        <w:spacing w:line="240" w:lineRule="auto"/>
        <w:ind w:left="720"/>
        <w:rPr>
          <w:rFonts w:eastAsia="Calibri"/>
          <w:szCs w:val="24"/>
          <w:lang w:eastAsia="en-US"/>
        </w:rPr>
      </w:pPr>
      <w:r w:rsidRPr="000F59AB">
        <w:rPr>
          <w:rFonts w:eastAsia="Calibri"/>
          <w:szCs w:val="24"/>
          <w:lang w:eastAsia="en-US"/>
        </w:rPr>
        <w:t>Date: 10-03-2022</w:t>
      </w:r>
    </w:p>
    <w:p w14:paraId="27C0D867" w14:textId="77777777" w:rsidR="00842BB3" w:rsidRPr="000F59AB" w:rsidRDefault="00842BB3" w:rsidP="00842BB3">
      <w:pPr>
        <w:widowControl w:val="0"/>
        <w:spacing w:after="120" w:line="240" w:lineRule="auto"/>
        <w:ind w:firstLine="720"/>
        <w:rPr>
          <w:rFonts w:eastAsia="Calibri"/>
          <w:szCs w:val="24"/>
          <w:lang w:eastAsia="en-US"/>
        </w:rPr>
      </w:pPr>
      <w:r w:rsidRPr="000F59AB">
        <w:rPr>
          <w:rFonts w:eastAsia="Calibri"/>
          <w:szCs w:val="24"/>
          <w:lang w:eastAsia="en-US"/>
        </w:rPr>
        <w:t>Competence: Josep BORRELL FONTELLES</w:t>
      </w:r>
    </w:p>
    <w:p w14:paraId="652AF383" w14:textId="48227125" w:rsidR="00842BB3" w:rsidRDefault="00842BB3" w:rsidP="00842BB3">
      <w:pPr>
        <w:spacing w:after="240"/>
        <w:jc w:val="both"/>
        <w:rPr>
          <w:lang w:val="en-GB" w:eastAsia="fr-BE"/>
        </w:rPr>
      </w:pPr>
      <w:r w:rsidRPr="00842BB3">
        <w:rPr>
          <w:rFonts w:eastAsia="Calibri"/>
          <w:szCs w:val="24"/>
          <w:lang w:val="en-GB"/>
        </w:rPr>
        <w:t xml:space="preserve">Reason: </w:t>
      </w:r>
      <w:r w:rsidRPr="00842BB3">
        <w:rPr>
          <w:rFonts w:eastAsia="Calibri"/>
          <w:szCs w:val="24"/>
          <w:lang w:val="en-GB" w:eastAsia="fr-BE"/>
        </w:rPr>
        <w:t xml:space="preserve">The Commission will not be responding formally to the requests addressed in the resolution as they were comprehensively addressed in plenary by </w:t>
      </w:r>
      <w:r w:rsidRPr="00842BB3">
        <w:rPr>
          <w:lang w:val="en-GB" w:eastAsia="fr-BE"/>
        </w:rPr>
        <w:t>Vice-President Jourová</w:t>
      </w:r>
      <w:r w:rsidRPr="00842BB3">
        <w:rPr>
          <w:rFonts w:eastAsia="Calibri"/>
          <w:szCs w:val="24"/>
          <w:lang w:val="en-GB"/>
        </w:rPr>
        <w:t xml:space="preserve"> on behalf of </w:t>
      </w:r>
      <w:r w:rsidRPr="00842BB3">
        <w:rPr>
          <w:rFonts w:eastAsia="Calibri"/>
          <w:szCs w:val="24"/>
          <w:lang w:val="en-GB" w:eastAsia="fr-BE"/>
        </w:rPr>
        <w:t>the High Representative/Vice-President Borrell.</w:t>
      </w:r>
    </w:p>
    <w:p w14:paraId="7C7CF431" w14:textId="77777777" w:rsidR="006A09C6" w:rsidRPr="007479A8" w:rsidRDefault="006A09C6" w:rsidP="006A09C6">
      <w:pPr>
        <w:widowControl w:val="0"/>
        <w:numPr>
          <w:ilvl w:val="0"/>
          <w:numId w:val="38"/>
        </w:numPr>
        <w:spacing w:before="120" w:line="240" w:lineRule="auto"/>
        <w:ind w:left="714" w:hanging="357"/>
        <w:contextualSpacing/>
        <w:jc w:val="both"/>
        <w:rPr>
          <w:rFonts w:eastAsiaTheme="minorHAnsi"/>
          <w:szCs w:val="24"/>
          <w:lang w:val="en-US" w:eastAsia="en-US"/>
        </w:rPr>
      </w:pPr>
      <w:r w:rsidRPr="007479A8">
        <w:rPr>
          <w:rFonts w:eastAsiaTheme="minorHAnsi"/>
          <w:noProof/>
          <w:szCs w:val="24"/>
          <w:lang w:val="en-US" w:eastAsia="en-US"/>
        </w:rPr>
        <w:t>Destruction of cultural heritage in Nagorno-Karabakh (2022/2582 (RSP))</w:t>
      </w:r>
    </w:p>
    <w:p w14:paraId="60B1091D" w14:textId="77777777" w:rsidR="006A09C6" w:rsidRPr="000F59AB" w:rsidRDefault="006A09C6" w:rsidP="006A09C6">
      <w:pPr>
        <w:widowControl w:val="0"/>
        <w:ind w:left="720"/>
        <w:rPr>
          <w:rFonts w:eastAsiaTheme="minorHAnsi"/>
          <w:szCs w:val="24"/>
          <w:lang w:eastAsia="en-US"/>
        </w:rPr>
      </w:pPr>
      <w:r w:rsidRPr="000F59AB">
        <w:rPr>
          <w:rFonts w:eastAsiaTheme="minorHAnsi"/>
          <w:szCs w:val="24"/>
          <w:lang w:eastAsia="en-US"/>
        </w:rPr>
        <w:t xml:space="preserve">EP: </w:t>
      </w:r>
      <w:r w:rsidRPr="000F59AB">
        <w:rPr>
          <w:rFonts w:eastAsiaTheme="minorHAnsi"/>
          <w:noProof/>
          <w:szCs w:val="24"/>
          <w:lang w:eastAsia="en-US"/>
        </w:rPr>
        <w:t>RC9-0146/2022</w:t>
      </w:r>
    </w:p>
    <w:p w14:paraId="02B78D8F" w14:textId="77777777" w:rsidR="006A09C6" w:rsidRPr="000F59AB" w:rsidRDefault="006A09C6" w:rsidP="006A09C6">
      <w:pPr>
        <w:widowControl w:val="0"/>
        <w:ind w:left="720"/>
        <w:rPr>
          <w:rFonts w:eastAsiaTheme="minorHAnsi"/>
          <w:szCs w:val="24"/>
          <w:lang w:eastAsia="en-US"/>
        </w:rPr>
      </w:pPr>
      <w:r w:rsidRPr="000F59AB">
        <w:rPr>
          <w:rFonts w:eastAsiaTheme="minorHAnsi"/>
          <w:szCs w:val="24"/>
          <w:lang w:eastAsia="en-US"/>
        </w:rPr>
        <w:t xml:space="preserve">Date: </w:t>
      </w:r>
      <w:r w:rsidRPr="000F59AB">
        <w:rPr>
          <w:rFonts w:eastAsiaTheme="minorHAnsi"/>
          <w:noProof/>
          <w:szCs w:val="24"/>
          <w:lang w:eastAsia="en-US"/>
        </w:rPr>
        <w:t>10-03-2022</w:t>
      </w:r>
    </w:p>
    <w:p w14:paraId="4A295E1A" w14:textId="56BE4944" w:rsidR="002D53D4" w:rsidRPr="000F59AB" w:rsidRDefault="006A09C6" w:rsidP="006A09C6">
      <w:pPr>
        <w:widowControl w:val="0"/>
        <w:spacing w:after="120"/>
        <w:ind w:firstLine="720"/>
        <w:rPr>
          <w:rFonts w:eastAsiaTheme="minorHAnsi"/>
          <w:szCs w:val="24"/>
          <w:lang w:eastAsia="en-US"/>
        </w:rPr>
      </w:pPr>
      <w:r w:rsidRPr="000F59AB">
        <w:rPr>
          <w:rFonts w:eastAsiaTheme="minorHAnsi"/>
          <w:szCs w:val="24"/>
          <w:lang w:eastAsia="en-US"/>
        </w:rPr>
        <w:t xml:space="preserve">Competence: </w:t>
      </w:r>
      <w:r w:rsidRPr="000F59AB">
        <w:rPr>
          <w:rFonts w:eastAsiaTheme="minorHAnsi"/>
          <w:noProof/>
          <w:szCs w:val="24"/>
          <w:lang w:eastAsia="en-US"/>
        </w:rPr>
        <w:t>Josep BORRELL FONTELLES</w:t>
      </w:r>
    </w:p>
    <w:p w14:paraId="12305096" w14:textId="0CF3C500" w:rsidR="002D53D4" w:rsidRDefault="002D53D4" w:rsidP="006A09C6">
      <w:pPr>
        <w:widowControl w:val="0"/>
        <w:spacing w:after="120"/>
        <w:jc w:val="both"/>
        <w:rPr>
          <w:lang w:val="en-GB" w:eastAsia="fr-BE"/>
        </w:rPr>
      </w:pPr>
      <w:r w:rsidRPr="00842BB3">
        <w:rPr>
          <w:lang w:val="en-GB" w:eastAsia="fr-BE"/>
        </w:rPr>
        <w:t xml:space="preserve">Reason: The Commission will not be responding formally to the requests addressed in the resolution as they were comprehensively addressed in plenary by </w:t>
      </w:r>
      <w:r w:rsidR="00842BB3" w:rsidRPr="00842BB3">
        <w:rPr>
          <w:lang w:val="en-GB" w:eastAsia="fr-BE"/>
        </w:rPr>
        <w:t xml:space="preserve">Vice-President Jourová </w:t>
      </w:r>
      <w:r w:rsidRPr="00842BB3">
        <w:rPr>
          <w:lang w:val="en-GB" w:eastAsia="fr-BE"/>
        </w:rPr>
        <w:t>on behalf of the High Representative / Vice-President Borrell.</w:t>
      </w:r>
    </w:p>
    <w:sectPr w:rsidR="002D53D4"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CF1"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35DC792B" w:rsidR="00EC7926" w:rsidRDefault="00EC7926">
        <w:pPr>
          <w:pStyle w:val="Footer"/>
          <w:jc w:val="center"/>
        </w:pPr>
        <w:r>
          <w:fldChar w:fldCharType="begin"/>
        </w:r>
        <w:r>
          <w:instrText xml:space="preserve"> PAGE   \* MERGEFORMAT </w:instrText>
        </w:r>
        <w:r>
          <w:fldChar w:fldCharType="separate"/>
        </w:r>
        <w:r w:rsidR="000F59AB">
          <w:rPr>
            <w:noProof/>
          </w:rPr>
          <w:t>7</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FBFD"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FDBF" w14:textId="46F0A88E"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4754B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2EC35364" w14:textId="77777777" w:rsidR="00EC7926" w:rsidRPr="004754B5" w:rsidRDefault="00EC7926" w:rsidP="004754B5">
          <w:pPr>
            <w:spacing w:before="90" w:line="240" w:lineRule="auto"/>
            <w:ind w:right="85"/>
            <w:jc w:val="both"/>
            <w:rPr>
              <w:rFonts w:cs="Arial"/>
              <w:sz w:val="20"/>
              <w:lang w:eastAsia="en-US"/>
            </w:rPr>
          </w:pPr>
          <w:r w:rsidRPr="004754B5">
            <w:rPr>
              <w:rFonts w:cs="Arial"/>
              <w:sz w:val="20"/>
              <w:lang w:eastAsia="en-US"/>
            </w:rPr>
            <w:t>COMMISSION EUROPÉENNE</w:t>
          </w:r>
        </w:p>
        <w:p w14:paraId="1662F946"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SECRÉTARIAT GÉNÉRAL</w:t>
          </w:r>
        </w:p>
        <w:p w14:paraId="6E01B304" w14:textId="77777777" w:rsidR="00EC7926" w:rsidRPr="004754B5" w:rsidRDefault="00EC7926" w:rsidP="004754B5">
          <w:pPr>
            <w:spacing w:line="240" w:lineRule="auto"/>
            <w:ind w:right="85"/>
            <w:jc w:val="both"/>
            <w:rPr>
              <w:rFonts w:cs="Arial"/>
              <w:color w:val="000000"/>
              <w:sz w:val="16"/>
              <w:szCs w:val="16"/>
              <w:lang w:eastAsia="fr-BE"/>
            </w:rPr>
          </w:pPr>
        </w:p>
        <w:p w14:paraId="523D9052" w14:textId="77777777" w:rsidR="00EC7926" w:rsidRPr="004754B5" w:rsidRDefault="00EC7926" w:rsidP="004754B5">
          <w:pPr>
            <w:spacing w:line="240" w:lineRule="auto"/>
            <w:ind w:right="85"/>
            <w:jc w:val="both"/>
            <w:rPr>
              <w:rFonts w:cs="Arial"/>
              <w:color w:val="000000"/>
              <w:sz w:val="16"/>
              <w:szCs w:val="16"/>
              <w:lang w:eastAsia="fr-BE"/>
            </w:rPr>
          </w:pPr>
        </w:p>
        <w:p w14:paraId="1ED67AF9"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Direction B - Prise de décision &amp; Collégialité</w:t>
          </w:r>
        </w:p>
        <w:p w14:paraId="25386C7D"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b/>
              <w:bCs/>
              <w:color w:val="000000"/>
              <w:sz w:val="16"/>
              <w:szCs w:val="16"/>
              <w:lang w:eastAsia="fr-BE"/>
            </w:rPr>
            <w:t>SG.B.3 -</w:t>
          </w:r>
          <w:r w:rsidRPr="004754B5">
            <w:rPr>
              <w:rFonts w:cs="Arial"/>
              <w:color w:val="000000"/>
              <w:sz w:val="16"/>
              <w:szCs w:val="16"/>
              <w:lang w:eastAsia="fr-BE"/>
            </w:rPr>
            <w:t xml:space="preserve"> </w:t>
          </w:r>
          <w:r w:rsidRPr="004754B5">
            <w:rPr>
              <w:rFonts w:cs="Arial"/>
              <w:b/>
              <w:bCs/>
              <w:color w:val="000000"/>
              <w:sz w:val="16"/>
              <w:szCs w:val="16"/>
              <w:lang w:eastAsia="fr-BE"/>
            </w:rPr>
            <w:t>Secrétariat du Groupe des Relations Interinstitutionnelles (GRI)</w:t>
          </w:r>
        </w:p>
      </w:tc>
      <w:tc>
        <w:tcPr>
          <w:tcW w:w="7290" w:type="dxa"/>
          <w:vAlign w:val="bottom"/>
        </w:tcPr>
        <w:p w14:paraId="00A6BC93" w14:textId="77777777" w:rsidR="00EC7926" w:rsidRPr="004754B5" w:rsidRDefault="00EC7926" w:rsidP="004754B5">
          <w:pPr>
            <w:spacing w:after="200" w:line="240" w:lineRule="auto"/>
            <w:ind w:right="85"/>
            <w:rPr>
              <w:b/>
              <w:sz w:val="16"/>
              <w:szCs w:val="16"/>
              <w:lang w:eastAsia="en-US"/>
            </w:rPr>
          </w:pPr>
        </w:p>
      </w:tc>
    </w:tr>
  </w:tbl>
  <w:p w14:paraId="79ACE709"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B70B2A"/>
    <w:multiLevelType w:val="hybridMultilevel"/>
    <w:tmpl w:val="027A6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A445907"/>
    <w:multiLevelType w:val="hybridMultilevel"/>
    <w:tmpl w:val="CBA2C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2DCC19BE"/>
    <w:multiLevelType w:val="hybridMultilevel"/>
    <w:tmpl w:val="23389140"/>
    <w:lvl w:ilvl="0" w:tplc="08090013">
      <w:start w:val="1"/>
      <w:numFmt w:val="upperRoman"/>
      <w:lvlText w:val="%1."/>
      <w:lvlJc w:val="righ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3"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B3FA2"/>
    <w:multiLevelType w:val="hybridMultilevel"/>
    <w:tmpl w:val="F1144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7"/>
  </w:num>
  <w:num w:numId="4">
    <w:abstractNumId w:val="36"/>
  </w:num>
  <w:num w:numId="5">
    <w:abstractNumId w:val="31"/>
  </w:num>
  <w:num w:numId="6">
    <w:abstractNumId w:val="15"/>
  </w:num>
  <w:num w:numId="7">
    <w:abstractNumId w:val="34"/>
  </w:num>
  <w:num w:numId="8">
    <w:abstractNumId w:val="27"/>
  </w:num>
  <w:num w:numId="9">
    <w:abstractNumId w:val="14"/>
  </w:num>
  <w:num w:numId="10">
    <w:abstractNumId w:val="7"/>
  </w:num>
  <w:num w:numId="11">
    <w:abstractNumId w:val="35"/>
  </w:num>
  <w:num w:numId="12">
    <w:abstractNumId w:val="8"/>
  </w:num>
  <w:num w:numId="13">
    <w:abstractNumId w:val="25"/>
  </w:num>
  <w:num w:numId="14">
    <w:abstractNumId w:val="32"/>
  </w:num>
  <w:num w:numId="15">
    <w:abstractNumId w:val="19"/>
  </w:num>
  <w:num w:numId="16">
    <w:abstractNumId w:val="1"/>
  </w:num>
  <w:num w:numId="17">
    <w:abstractNumId w:val="26"/>
  </w:num>
  <w:num w:numId="18">
    <w:abstractNumId w:val="24"/>
  </w:num>
  <w:num w:numId="19">
    <w:abstractNumId w:val="37"/>
  </w:num>
  <w:num w:numId="20">
    <w:abstractNumId w:val="3"/>
  </w:num>
  <w:num w:numId="21">
    <w:abstractNumId w:val="39"/>
  </w:num>
  <w:num w:numId="22">
    <w:abstractNumId w:val="10"/>
  </w:num>
  <w:num w:numId="23">
    <w:abstractNumId w:val="0"/>
  </w:num>
  <w:num w:numId="24">
    <w:abstractNumId w:val="21"/>
  </w:num>
  <w:num w:numId="25">
    <w:abstractNumId w:val="11"/>
  </w:num>
  <w:num w:numId="26">
    <w:abstractNumId w:val="22"/>
  </w:num>
  <w:num w:numId="27">
    <w:abstractNumId w:val="30"/>
  </w:num>
  <w:num w:numId="28">
    <w:abstractNumId w:val="43"/>
  </w:num>
  <w:num w:numId="29">
    <w:abstractNumId w:val="33"/>
  </w:num>
  <w:num w:numId="30">
    <w:abstractNumId w:val="29"/>
  </w:num>
  <w:num w:numId="31">
    <w:abstractNumId w:val="42"/>
  </w:num>
  <w:num w:numId="32">
    <w:abstractNumId w:val="23"/>
  </w:num>
  <w:num w:numId="33">
    <w:abstractNumId w:val="18"/>
  </w:num>
  <w:num w:numId="34">
    <w:abstractNumId w:val="20"/>
  </w:num>
  <w:num w:numId="35">
    <w:abstractNumId w:val="41"/>
  </w:num>
  <w:num w:numId="36">
    <w:abstractNumId w:val="28"/>
  </w:num>
  <w:num w:numId="37">
    <w:abstractNumId w:val="12"/>
  </w:num>
  <w:num w:numId="38">
    <w:abstractNumId w:val="38"/>
  </w:num>
  <w:num w:numId="39">
    <w:abstractNumId w:val="5"/>
  </w:num>
  <w:num w:numId="40">
    <w:abstractNumId w:val="2"/>
  </w:num>
  <w:num w:numId="41">
    <w:abstractNumId w:val="4"/>
  </w:num>
  <w:num w:numId="42">
    <w:abstractNumId w:val="38"/>
  </w:num>
  <w:num w:numId="43">
    <w:abstractNumId w:val="40"/>
  </w:num>
  <w:num w:numId="44">
    <w:abstractNumId w:val="13"/>
  </w:num>
  <w:num w:numId="45">
    <w:abstractNumId w:val="38"/>
  </w:num>
  <w:num w:numId="46">
    <w:abstractNumId w:val="38"/>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71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1D04"/>
    <w:rsid w:val="00045855"/>
    <w:rsid w:val="00045BF0"/>
    <w:rsid w:val="00046224"/>
    <w:rsid w:val="00052442"/>
    <w:rsid w:val="00053607"/>
    <w:rsid w:val="00055079"/>
    <w:rsid w:val="00055096"/>
    <w:rsid w:val="00055589"/>
    <w:rsid w:val="000557D5"/>
    <w:rsid w:val="00056956"/>
    <w:rsid w:val="000577CD"/>
    <w:rsid w:val="00061954"/>
    <w:rsid w:val="0006264D"/>
    <w:rsid w:val="00065320"/>
    <w:rsid w:val="00065724"/>
    <w:rsid w:val="00067828"/>
    <w:rsid w:val="00070E46"/>
    <w:rsid w:val="000712EA"/>
    <w:rsid w:val="000718ED"/>
    <w:rsid w:val="000729D8"/>
    <w:rsid w:val="000749BB"/>
    <w:rsid w:val="0007573A"/>
    <w:rsid w:val="00076D8B"/>
    <w:rsid w:val="000810C3"/>
    <w:rsid w:val="00081F5A"/>
    <w:rsid w:val="000832AF"/>
    <w:rsid w:val="00084136"/>
    <w:rsid w:val="00087A63"/>
    <w:rsid w:val="000936C4"/>
    <w:rsid w:val="0009387E"/>
    <w:rsid w:val="00093F2C"/>
    <w:rsid w:val="000953C9"/>
    <w:rsid w:val="000957C1"/>
    <w:rsid w:val="00096F3B"/>
    <w:rsid w:val="000A0207"/>
    <w:rsid w:val="000A2685"/>
    <w:rsid w:val="000A4A12"/>
    <w:rsid w:val="000A52AB"/>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4894"/>
    <w:rsid w:val="000F59AB"/>
    <w:rsid w:val="000F67B9"/>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09D"/>
    <w:rsid w:val="001256F5"/>
    <w:rsid w:val="00125AF3"/>
    <w:rsid w:val="00126785"/>
    <w:rsid w:val="001275A0"/>
    <w:rsid w:val="00131053"/>
    <w:rsid w:val="00133937"/>
    <w:rsid w:val="00135201"/>
    <w:rsid w:val="00136113"/>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0C8F"/>
    <w:rsid w:val="001B1799"/>
    <w:rsid w:val="001B3239"/>
    <w:rsid w:val="001B3562"/>
    <w:rsid w:val="001B3CFA"/>
    <w:rsid w:val="001B4F99"/>
    <w:rsid w:val="001B50B4"/>
    <w:rsid w:val="001B6C58"/>
    <w:rsid w:val="001C0E24"/>
    <w:rsid w:val="001C7AA8"/>
    <w:rsid w:val="001D04C7"/>
    <w:rsid w:val="001D2B20"/>
    <w:rsid w:val="001D46B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2A7E"/>
    <w:rsid w:val="002041F5"/>
    <w:rsid w:val="00204CB5"/>
    <w:rsid w:val="002050A8"/>
    <w:rsid w:val="0020514A"/>
    <w:rsid w:val="002078FA"/>
    <w:rsid w:val="0021178C"/>
    <w:rsid w:val="00216AEE"/>
    <w:rsid w:val="00220B4E"/>
    <w:rsid w:val="00220CB0"/>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53D4"/>
    <w:rsid w:val="002D5EF2"/>
    <w:rsid w:val="002E1543"/>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3F6AFC"/>
    <w:rsid w:val="003F7C91"/>
    <w:rsid w:val="00401406"/>
    <w:rsid w:val="00401AE3"/>
    <w:rsid w:val="00401FBD"/>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01A"/>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96857"/>
    <w:rsid w:val="005A0F32"/>
    <w:rsid w:val="005A20A8"/>
    <w:rsid w:val="005A4A90"/>
    <w:rsid w:val="005A514F"/>
    <w:rsid w:val="005A5363"/>
    <w:rsid w:val="005B0232"/>
    <w:rsid w:val="005B1FC7"/>
    <w:rsid w:val="005B479D"/>
    <w:rsid w:val="005B67C4"/>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16D5"/>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9C6"/>
    <w:rsid w:val="006A0C11"/>
    <w:rsid w:val="006A1DAC"/>
    <w:rsid w:val="006A328C"/>
    <w:rsid w:val="006A50B7"/>
    <w:rsid w:val="006A5DB0"/>
    <w:rsid w:val="006A781E"/>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678"/>
    <w:rsid w:val="006E1B33"/>
    <w:rsid w:val="006E206E"/>
    <w:rsid w:val="006E270A"/>
    <w:rsid w:val="006E3333"/>
    <w:rsid w:val="006E340E"/>
    <w:rsid w:val="006E363A"/>
    <w:rsid w:val="006E3CAB"/>
    <w:rsid w:val="006E4792"/>
    <w:rsid w:val="006E4CD4"/>
    <w:rsid w:val="006E75EA"/>
    <w:rsid w:val="006E7FBF"/>
    <w:rsid w:val="006F24B9"/>
    <w:rsid w:val="006F370B"/>
    <w:rsid w:val="006F4014"/>
    <w:rsid w:val="006F46BC"/>
    <w:rsid w:val="006F6BA8"/>
    <w:rsid w:val="00704311"/>
    <w:rsid w:val="00705FF2"/>
    <w:rsid w:val="007071FE"/>
    <w:rsid w:val="00710815"/>
    <w:rsid w:val="00710BA3"/>
    <w:rsid w:val="00711C88"/>
    <w:rsid w:val="00714BDB"/>
    <w:rsid w:val="00714C30"/>
    <w:rsid w:val="007156EA"/>
    <w:rsid w:val="00715A28"/>
    <w:rsid w:val="00715B0B"/>
    <w:rsid w:val="0071683A"/>
    <w:rsid w:val="00717534"/>
    <w:rsid w:val="00717BF5"/>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1BF"/>
    <w:rsid w:val="007A24B5"/>
    <w:rsid w:val="007A450E"/>
    <w:rsid w:val="007A4C7C"/>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0B64"/>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665"/>
    <w:rsid w:val="0084295B"/>
    <w:rsid w:val="00842BB3"/>
    <w:rsid w:val="00843141"/>
    <w:rsid w:val="0084581D"/>
    <w:rsid w:val="00847366"/>
    <w:rsid w:val="00850630"/>
    <w:rsid w:val="0085096A"/>
    <w:rsid w:val="0085309F"/>
    <w:rsid w:val="00853203"/>
    <w:rsid w:val="0085402F"/>
    <w:rsid w:val="0086008F"/>
    <w:rsid w:val="008600BB"/>
    <w:rsid w:val="00862E1A"/>
    <w:rsid w:val="008630A9"/>
    <w:rsid w:val="00864F99"/>
    <w:rsid w:val="00865298"/>
    <w:rsid w:val="00866A18"/>
    <w:rsid w:val="00866CE9"/>
    <w:rsid w:val="00871701"/>
    <w:rsid w:val="00871D2D"/>
    <w:rsid w:val="00871DB9"/>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079A"/>
    <w:rsid w:val="008E14C6"/>
    <w:rsid w:val="008E29E4"/>
    <w:rsid w:val="008E4B5B"/>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47FF"/>
    <w:rsid w:val="009459F9"/>
    <w:rsid w:val="0094607D"/>
    <w:rsid w:val="00947A22"/>
    <w:rsid w:val="00950593"/>
    <w:rsid w:val="009513E8"/>
    <w:rsid w:val="009516C8"/>
    <w:rsid w:val="00952870"/>
    <w:rsid w:val="00953B1D"/>
    <w:rsid w:val="0095501C"/>
    <w:rsid w:val="00955669"/>
    <w:rsid w:val="00957461"/>
    <w:rsid w:val="009578C9"/>
    <w:rsid w:val="00957C1B"/>
    <w:rsid w:val="009606F6"/>
    <w:rsid w:val="00961E70"/>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3334C"/>
    <w:rsid w:val="00A36E60"/>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0A4A"/>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3592"/>
    <w:rsid w:val="00AB4AC9"/>
    <w:rsid w:val="00AB5DD7"/>
    <w:rsid w:val="00AB67E8"/>
    <w:rsid w:val="00AC06F0"/>
    <w:rsid w:val="00AC4DEB"/>
    <w:rsid w:val="00AC5B49"/>
    <w:rsid w:val="00AC6376"/>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E5E"/>
    <w:rsid w:val="00B01764"/>
    <w:rsid w:val="00B01C12"/>
    <w:rsid w:val="00B02D4D"/>
    <w:rsid w:val="00B02E0C"/>
    <w:rsid w:val="00B04184"/>
    <w:rsid w:val="00B075A0"/>
    <w:rsid w:val="00B10F21"/>
    <w:rsid w:val="00B1361C"/>
    <w:rsid w:val="00B13AB8"/>
    <w:rsid w:val="00B14565"/>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7DF"/>
    <w:rsid w:val="00B56E46"/>
    <w:rsid w:val="00B60790"/>
    <w:rsid w:val="00B612B9"/>
    <w:rsid w:val="00B6245A"/>
    <w:rsid w:val="00B67418"/>
    <w:rsid w:val="00B715EA"/>
    <w:rsid w:val="00B718C8"/>
    <w:rsid w:val="00B71FF0"/>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0646"/>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BF59E9"/>
    <w:rsid w:val="00C00553"/>
    <w:rsid w:val="00C01311"/>
    <w:rsid w:val="00C01652"/>
    <w:rsid w:val="00C07B70"/>
    <w:rsid w:val="00C10B8E"/>
    <w:rsid w:val="00C158E8"/>
    <w:rsid w:val="00C15919"/>
    <w:rsid w:val="00C16863"/>
    <w:rsid w:val="00C20365"/>
    <w:rsid w:val="00C20C27"/>
    <w:rsid w:val="00C22D03"/>
    <w:rsid w:val="00C25C2C"/>
    <w:rsid w:val="00C269B7"/>
    <w:rsid w:val="00C3118E"/>
    <w:rsid w:val="00C31216"/>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4AC7"/>
    <w:rsid w:val="00C75120"/>
    <w:rsid w:val="00C76E10"/>
    <w:rsid w:val="00C77CA8"/>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615"/>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2ECE"/>
    <w:rsid w:val="00D27F29"/>
    <w:rsid w:val="00D30F76"/>
    <w:rsid w:val="00D3155B"/>
    <w:rsid w:val="00D4062E"/>
    <w:rsid w:val="00D412CD"/>
    <w:rsid w:val="00D41357"/>
    <w:rsid w:val="00D42DEF"/>
    <w:rsid w:val="00D44AA8"/>
    <w:rsid w:val="00D452EC"/>
    <w:rsid w:val="00D474D7"/>
    <w:rsid w:val="00D5056B"/>
    <w:rsid w:val="00D514EF"/>
    <w:rsid w:val="00D514F2"/>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7781B"/>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E696D"/>
    <w:rsid w:val="00DF6406"/>
    <w:rsid w:val="00E00338"/>
    <w:rsid w:val="00E014B7"/>
    <w:rsid w:val="00E0191C"/>
    <w:rsid w:val="00E01AF2"/>
    <w:rsid w:val="00E01FFD"/>
    <w:rsid w:val="00E0222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2582"/>
    <w:rsid w:val="00E72767"/>
    <w:rsid w:val="00E74759"/>
    <w:rsid w:val="00E74D19"/>
    <w:rsid w:val="00E75009"/>
    <w:rsid w:val="00E751AF"/>
    <w:rsid w:val="00E752BB"/>
    <w:rsid w:val="00E77CCF"/>
    <w:rsid w:val="00E83411"/>
    <w:rsid w:val="00E86601"/>
    <w:rsid w:val="00E87F48"/>
    <w:rsid w:val="00E87FDC"/>
    <w:rsid w:val="00E906A2"/>
    <w:rsid w:val="00E92759"/>
    <w:rsid w:val="00E93D63"/>
    <w:rsid w:val="00E93FD7"/>
    <w:rsid w:val="00EA022C"/>
    <w:rsid w:val="00EA38F2"/>
    <w:rsid w:val="00EA4E89"/>
    <w:rsid w:val="00EB4348"/>
    <w:rsid w:val="00EB6068"/>
    <w:rsid w:val="00EC0087"/>
    <w:rsid w:val="00EC067C"/>
    <w:rsid w:val="00EC0D39"/>
    <w:rsid w:val="00EC1EB9"/>
    <w:rsid w:val="00EC24E6"/>
    <w:rsid w:val="00EC4D4A"/>
    <w:rsid w:val="00EC6781"/>
    <w:rsid w:val="00EC7926"/>
    <w:rsid w:val="00ED14E9"/>
    <w:rsid w:val="00ED1E37"/>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07688"/>
    <w:rsid w:val="00F11F70"/>
    <w:rsid w:val="00F1270E"/>
    <w:rsid w:val="00F1364A"/>
    <w:rsid w:val="00F14F20"/>
    <w:rsid w:val="00F15B4C"/>
    <w:rsid w:val="00F249BF"/>
    <w:rsid w:val="00F2584D"/>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4A13"/>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39F3"/>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277"/>
    <w:rsid w:val="00FD0412"/>
    <w:rsid w:val="00FD0BBE"/>
    <w:rsid w:val="00FD17FF"/>
    <w:rsid w:val="00FD397A"/>
    <w:rsid w:val="00FD5493"/>
    <w:rsid w:val="00FD6485"/>
    <w:rsid w:val="00FD664B"/>
    <w:rsid w:val="00FD74C7"/>
    <w:rsid w:val="00FE09D5"/>
    <w:rsid w:val="00FE0CBB"/>
    <w:rsid w:val="00FE3384"/>
    <w:rsid w:val="00FE46FF"/>
    <w:rsid w:val="00FE62DF"/>
    <w:rsid w:val="00FE6C7E"/>
    <w:rsid w:val="00FE7491"/>
    <w:rsid w:val="00FE765B"/>
    <w:rsid w:val="00FF012B"/>
    <w:rsid w:val="00FF39C1"/>
    <w:rsid w:val="00FF50E3"/>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475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22058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41592892">
      <w:bodyDiv w:val="1"/>
      <w:marLeft w:val="0"/>
      <w:marRight w:val="0"/>
      <w:marTop w:val="0"/>
      <w:marBottom w:val="0"/>
      <w:divBdr>
        <w:top w:val="none" w:sz="0" w:space="0" w:color="auto"/>
        <w:left w:val="none" w:sz="0" w:space="0" w:color="auto"/>
        <w:bottom w:val="none" w:sz="0" w:space="0" w:color="auto"/>
        <w:right w:val="none" w:sz="0" w:space="0" w:color="auto"/>
      </w:divBdr>
    </w:div>
    <w:div w:id="352924201">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46505990">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3491194">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7664550">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1305082">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43944911">
      <w:bodyDiv w:val="1"/>
      <w:marLeft w:val="0"/>
      <w:marRight w:val="0"/>
      <w:marTop w:val="0"/>
      <w:marBottom w:val="0"/>
      <w:divBdr>
        <w:top w:val="none" w:sz="0" w:space="0" w:color="auto"/>
        <w:left w:val="none" w:sz="0" w:space="0" w:color="auto"/>
        <w:bottom w:val="none" w:sz="0" w:space="0" w:color="auto"/>
        <w:right w:val="none" w:sz="0" w:space="0" w:color="auto"/>
      </w:divBdr>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15853289">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3720867">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1256683">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5021009">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07787109">
      <w:bodyDiv w:val="1"/>
      <w:marLeft w:val="0"/>
      <w:marRight w:val="0"/>
      <w:marTop w:val="0"/>
      <w:marBottom w:val="0"/>
      <w:divBdr>
        <w:top w:val="none" w:sz="0" w:space="0" w:color="auto"/>
        <w:left w:val="none" w:sz="0" w:space="0" w:color="auto"/>
        <w:bottom w:val="none" w:sz="0" w:space="0" w:color="auto"/>
        <w:right w:val="none" w:sz="0" w:space="0" w:color="auto"/>
      </w:divBdr>
    </w:div>
    <w:div w:id="2083717588">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65CF-4A4A-430F-9723-0545EAAF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570</Words>
  <Characters>3492</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5</cp:revision>
  <cp:lastPrinted>2019-01-09T14:37:00Z</cp:lastPrinted>
  <dcterms:created xsi:type="dcterms:W3CDTF">2022-03-30T08:00:00Z</dcterms:created>
  <dcterms:modified xsi:type="dcterms:W3CDTF">2022-04-05T12:10:00Z</dcterms:modified>
</cp:coreProperties>
</file>