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1F67" w14:textId="7DC3A460" w:rsidR="00550220" w:rsidRPr="00A77E49" w:rsidRDefault="00550220" w:rsidP="00550220">
      <w:pPr>
        <w:pStyle w:val="Date"/>
        <w:spacing w:after="360" w:line="240" w:lineRule="auto"/>
        <w:ind w:left="5823" w:hanging="11"/>
        <w:rPr>
          <w:szCs w:val="24"/>
          <w:lang w:val="en-GB"/>
        </w:rPr>
      </w:pPr>
      <w:r w:rsidRPr="00A77E49">
        <w:rPr>
          <w:lang w:val="en-GB"/>
        </w:rPr>
        <w:t xml:space="preserve">Brussels, </w:t>
      </w:r>
      <w:r w:rsidR="00A77E49" w:rsidRPr="00A77E49">
        <w:rPr>
          <w:lang w:val="en-GB"/>
        </w:rPr>
        <w:t>22</w:t>
      </w:r>
      <w:r w:rsidR="007F147F" w:rsidRPr="00A77E49">
        <w:rPr>
          <w:lang w:val="en-GB"/>
        </w:rPr>
        <w:t xml:space="preserve"> November</w:t>
      </w:r>
      <w:r w:rsidRPr="00A77E49">
        <w:rPr>
          <w:lang w:val="en-GB"/>
        </w:rPr>
        <w:t xml:space="preserve"> </w:t>
      </w:r>
      <w:r w:rsidRPr="00A77E49">
        <w:rPr>
          <w:szCs w:val="24"/>
          <w:lang w:val="en-GB"/>
        </w:rPr>
        <w:t>202</w:t>
      </w:r>
      <w:r w:rsidR="003349DD" w:rsidRPr="00A77E49">
        <w:rPr>
          <w:szCs w:val="24"/>
          <w:lang w:val="en-GB"/>
        </w:rPr>
        <w:t>2</w:t>
      </w:r>
    </w:p>
    <w:p w14:paraId="41856871" w14:textId="25A85666" w:rsidR="00550220" w:rsidRPr="00A77E49" w:rsidRDefault="00550220" w:rsidP="00550220">
      <w:pPr>
        <w:rPr>
          <w:b/>
          <w:lang w:val="en-GB"/>
        </w:rPr>
      </w:pPr>
      <w:r w:rsidRPr="00A77E49">
        <w:rPr>
          <w:b/>
          <w:lang w:val="en-GB"/>
        </w:rPr>
        <w:t>SP(20</w:t>
      </w:r>
      <w:r w:rsidR="000F67B9" w:rsidRPr="00A77E49">
        <w:rPr>
          <w:b/>
          <w:lang w:val="en-GB"/>
        </w:rPr>
        <w:t>2</w:t>
      </w:r>
      <w:r w:rsidR="003349DD" w:rsidRPr="00A77E49">
        <w:rPr>
          <w:b/>
          <w:lang w:val="en-GB"/>
        </w:rPr>
        <w:t>2</w:t>
      </w:r>
      <w:r w:rsidRPr="00A77E49">
        <w:rPr>
          <w:b/>
          <w:lang w:val="en-GB"/>
        </w:rPr>
        <w:t>) </w:t>
      </w:r>
      <w:r w:rsidR="007F147F" w:rsidRPr="00A77E49">
        <w:rPr>
          <w:b/>
          <w:lang w:val="en-GB"/>
        </w:rPr>
        <w:t>658</w:t>
      </w:r>
    </w:p>
    <w:p w14:paraId="52B83C33" w14:textId="77777777" w:rsidR="00550220" w:rsidRPr="00623433" w:rsidRDefault="00550220" w:rsidP="00550220">
      <w:pPr>
        <w:pStyle w:val="Subject"/>
        <w:spacing w:after="720"/>
        <w:ind w:right="-28"/>
        <w:jc w:val="both"/>
        <w:rPr>
          <w:rFonts w:ascii="Times New Roman" w:hAnsi="Times New Roman"/>
          <w:u w:val="single"/>
          <w:lang w:val="en-IE"/>
        </w:rPr>
      </w:pPr>
    </w:p>
    <w:p w14:paraId="396170BB" w14:textId="2706BB48" w:rsidR="00550220" w:rsidRPr="00A77E49" w:rsidRDefault="00661375" w:rsidP="00A77E49">
      <w:pPr>
        <w:pStyle w:val="Subject"/>
        <w:spacing w:after="720"/>
        <w:ind w:left="0" w:right="-28" w:firstLine="0"/>
        <w:jc w:val="center"/>
        <w:rPr>
          <w:rFonts w:ascii="Times New Roman" w:hAnsi="Times New Roman"/>
          <w:sz w:val="48"/>
          <w:szCs w:val="48"/>
          <w:u w:val="single"/>
        </w:rPr>
      </w:pPr>
      <w:r w:rsidRPr="00A77E49">
        <w:rPr>
          <w:rFonts w:ascii="Times New Roman" w:hAnsi="Times New Roman"/>
          <w:sz w:val="48"/>
          <w:szCs w:val="48"/>
          <w:u w:val="single"/>
        </w:rPr>
        <w:t xml:space="preserve">Replies of the </w:t>
      </w:r>
      <w:r w:rsidR="00550220" w:rsidRPr="00A77E49">
        <w:rPr>
          <w:rFonts w:ascii="Times New Roman" w:hAnsi="Times New Roman"/>
          <w:sz w:val="48"/>
          <w:szCs w:val="48"/>
          <w:u w:val="single"/>
        </w:rPr>
        <w:t xml:space="preserve">Commission </w:t>
      </w:r>
      <w:r w:rsidRPr="00A77E49">
        <w:rPr>
          <w:rFonts w:ascii="Times New Roman" w:hAnsi="Times New Roman"/>
          <w:sz w:val="48"/>
          <w:szCs w:val="48"/>
          <w:u w:val="single"/>
        </w:rPr>
        <w:t>to</w:t>
      </w:r>
      <w:r w:rsidR="00550220" w:rsidRPr="00A77E49">
        <w:rPr>
          <w:rFonts w:ascii="Times New Roman" w:hAnsi="Times New Roman"/>
          <w:sz w:val="48"/>
          <w:szCs w:val="48"/>
          <w:u w:val="single"/>
        </w:rPr>
        <w:t xml:space="preserve"> positions </w:t>
      </w:r>
      <w:r w:rsidR="00A77E49">
        <w:rPr>
          <w:rFonts w:ascii="Times New Roman" w:hAnsi="Times New Roman"/>
          <w:sz w:val="48"/>
          <w:szCs w:val="48"/>
          <w:u w:val="single"/>
        </w:rPr>
        <w:br/>
      </w:r>
      <w:bookmarkStart w:id="0" w:name="_GoBack"/>
      <w:bookmarkEnd w:id="0"/>
      <w:r w:rsidR="00550220" w:rsidRPr="00A77E49">
        <w:rPr>
          <w:rFonts w:ascii="Times New Roman" w:hAnsi="Times New Roman"/>
          <w:sz w:val="48"/>
          <w:szCs w:val="48"/>
          <w:u w:val="single"/>
        </w:rPr>
        <w:t>and resolutions adopted by the European Parliament –</w:t>
      </w:r>
      <w:r w:rsidR="008600BB" w:rsidRPr="00A77E49">
        <w:rPr>
          <w:rFonts w:ascii="Times New Roman" w:hAnsi="Times New Roman"/>
          <w:sz w:val="48"/>
          <w:szCs w:val="48"/>
          <w:u w:val="single"/>
        </w:rPr>
        <w:t xml:space="preserve"> </w:t>
      </w:r>
      <w:r w:rsidR="000F6B0B" w:rsidRPr="00A77E49">
        <w:rPr>
          <w:rFonts w:ascii="Times New Roman" w:hAnsi="Times New Roman"/>
          <w:sz w:val="48"/>
          <w:szCs w:val="48"/>
          <w:u w:val="single"/>
        </w:rPr>
        <w:t xml:space="preserve">October </w:t>
      </w:r>
      <w:r w:rsidR="00C906F9" w:rsidRPr="00A77E49">
        <w:rPr>
          <w:rFonts w:ascii="Times New Roman" w:hAnsi="Times New Roman"/>
          <w:sz w:val="48"/>
          <w:szCs w:val="48"/>
          <w:u w:val="single"/>
        </w:rPr>
        <w:t>I</w:t>
      </w:r>
      <w:r w:rsidR="000F6B0B" w:rsidRPr="00A77E49">
        <w:rPr>
          <w:rFonts w:ascii="Times New Roman" w:hAnsi="Times New Roman"/>
          <w:sz w:val="48"/>
          <w:szCs w:val="48"/>
          <w:u w:val="single"/>
        </w:rPr>
        <w:t>I</w:t>
      </w:r>
      <w:r w:rsidR="00550220" w:rsidRPr="00A77E49">
        <w:rPr>
          <w:rFonts w:ascii="Times New Roman" w:hAnsi="Times New Roman"/>
          <w:sz w:val="48"/>
          <w:szCs w:val="48"/>
          <w:u w:val="single"/>
        </w:rPr>
        <w:t xml:space="preserve"> part-session</w:t>
      </w:r>
    </w:p>
    <w:p w14:paraId="7883C972" w14:textId="4B8217F9" w:rsidR="00935ED8" w:rsidRPr="00EE64E6" w:rsidRDefault="00935ED8" w:rsidP="00935ED8">
      <w:pPr>
        <w:spacing w:after="240" w:line="240" w:lineRule="auto"/>
        <w:jc w:val="both"/>
        <w:rPr>
          <w:lang w:val="en-GB"/>
        </w:rPr>
      </w:pPr>
      <w:r w:rsidRPr="00EE64E6">
        <w:rPr>
          <w:lang w:val="en-GB"/>
        </w:rPr>
        <w:br w:type="page"/>
      </w:r>
      <w:r w:rsidRPr="00EE64E6">
        <w:rPr>
          <w:b/>
          <w:sz w:val="22"/>
          <w:lang w:val="en-GB"/>
        </w:rPr>
        <w:lastRenderedPageBreak/>
        <w:t xml:space="preserve">THE FIRST PART OF THIS </w:t>
      </w:r>
      <w:r w:rsidR="009B1FCF">
        <w:rPr>
          <w:b/>
          <w:sz w:val="22"/>
          <w:lang w:val="en-GB"/>
        </w:rPr>
        <w:t>DOCUMENT</w:t>
      </w:r>
      <w:r w:rsidR="009B1FCF" w:rsidRPr="00EE64E6">
        <w:rPr>
          <w:b/>
          <w:sz w:val="22"/>
          <w:lang w:val="en-GB"/>
        </w:rPr>
        <w:t xml:space="preserve"> </w:t>
      </w:r>
      <w:r w:rsidRPr="00EE64E6">
        <w:rPr>
          <w:b/>
          <w:sz w:val="22"/>
          <w:lang w:val="en-GB"/>
        </w:rPr>
        <w:t xml:space="preserve">INFORMS PARLIAMENT OF THE </w:t>
      </w:r>
      <w:r w:rsidR="00661375">
        <w:rPr>
          <w:b/>
          <w:sz w:val="22"/>
          <w:lang w:val="en-GB"/>
        </w:rPr>
        <w:t xml:space="preserve">POSITION OF </w:t>
      </w:r>
      <w:r w:rsidRPr="00EE64E6">
        <w:rPr>
          <w:b/>
          <w:sz w:val="22"/>
          <w:lang w:val="en-GB"/>
        </w:rPr>
        <w:t xml:space="preserve">THE COMMISSION ON AMENDMENTS ADOPTED BY </w:t>
      </w:r>
      <w:r w:rsidR="00661375">
        <w:rPr>
          <w:b/>
          <w:sz w:val="22"/>
          <w:lang w:val="en-GB"/>
        </w:rPr>
        <w:t xml:space="preserve">THE </w:t>
      </w:r>
      <w:r w:rsidRPr="00EE64E6">
        <w:rPr>
          <w:b/>
          <w:sz w:val="22"/>
          <w:lang w:val="en-GB"/>
        </w:rPr>
        <w:t xml:space="preserve">PARLIAMENT RELATING TO PROPOSED LEGISLATION DURING THE </w:t>
      </w:r>
      <w:r w:rsidR="000F6B0B">
        <w:rPr>
          <w:b/>
          <w:sz w:val="22"/>
          <w:lang w:val="en-GB"/>
        </w:rPr>
        <w:t xml:space="preserve">OCTOBER </w:t>
      </w:r>
      <w:r w:rsidR="00C906F9">
        <w:rPr>
          <w:b/>
          <w:sz w:val="22"/>
          <w:lang w:val="en-GB"/>
        </w:rPr>
        <w:t>I</w:t>
      </w:r>
      <w:r w:rsidR="000F6B0B">
        <w:rPr>
          <w:b/>
          <w:sz w:val="22"/>
          <w:lang w:val="en-GB"/>
        </w:rPr>
        <w:t>I</w:t>
      </w:r>
      <w:r w:rsidR="002041F5">
        <w:rPr>
          <w:b/>
          <w:sz w:val="22"/>
          <w:lang w:val="en-GB"/>
        </w:rPr>
        <w:t xml:space="preserve"> </w:t>
      </w:r>
      <w:r w:rsidR="00AF05BB">
        <w:rPr>
          <w:b/>
          <w:sz w:val="22"/>
          <w:lang w:val="en-GB"/>
        </w:rPr>
        <w:t>202</w:t>
      </w:r>
      <w:r w:rsidR="003349DD">
        <w:rPr>
          <w:b/>
          <w:sz w:val="22"/>
          <w:lang w:val="en-GB"/>
        </w:rPr>
        <w:t>2</w:t>
      </w:r>
      <w:r w:rsidRPr="00EE64E6">
        <w:rPr>
          <w:b/>
          <w:sz w:val="22"/>
          <w:lang w:val="en-GB"/>
        </w:rPr>
        <w:t xml:space="preserve"> PART-SESSION.</w:t>
      </w:r>
    </w:p>
    <w:p w14:paraId="72D41285" w14:textId="252A2B32" w:rsidR="00935ED8" w:rsidRPr="00EE64E6" w:rsidRDefault="00935ED8" w:rsidP="00935ED8">
      <w:pPr>
        <w:spacing w:after="240" w:line="240" w:lineRule="auto"/>
        <w:jc w:val="both"/>
        <w:rPr>
          <w:b/>
          <w:sz w:val="22"/>
          <w:szCs w:val="22"/>
          <w:lang w:val="en-GB"/>
        </w:rPr>
      </w:pPr>
      <w:r w:rsidRPr="00EE64E6">
        <w:rPr>
          <w:b/>
          <w:sz w:val="22"/>
          <w:lang w:val="en-GB"/>
        </w:rPr>
        <w:t xml:space="preserve">IN THE SECOND PART THE COMMISSION LISTS A NUMBER OF NON-LEGISLATIVE RESOLUTIONS ADOPTED BY </w:t>
      </w:r>
      <w:r w:rsidR="00661375">
        <w:rPr>
          <w:b/>
          <w:sz w:val="22"/>
          <w:lang w:val="en-GB"/>
        </w:rPr>
        <w:t xml:space="preserve">THE </w:t>
      </w:r>
      <w:r w:rsidRPr="00EE64E6">
        <w:rPr>
          <w:b/>
          <w:sz w:val="22"/>
          <w:lang w:val="en-GB"/>
        </w:rPr>
        <w:t>PARLIAMENT DURING THE SAME PART-SESSION, WITH EXPLANATIONS AS TO WHY IT WILL NOT BE RESPONDING FORMALLY.</w:t>
      </w:r>
    </w:p>
    <w:p w14:paraId="4CD77F1D" w14:textId="7C206A95" w:rsidR="00935ED8" w:rsidRPr="00550220" w:rsidRDefault="00935ED8" w:rsidP="00935ED8">
      <w:pPr>
        <w:spacing w:before="600" w:after="600" w:line="240" w:lineRule="auto"/>
        <w:jc w:val="center"/>
        <w:rPr>
          <w:b/>
          <w:lang w:val="en-GB"/>
        </w:rPr>
      </w:pPr>
      <w:r w:rsidRPr="00EE64E6">
        <w:rPr>
          <w:b/>
          <w:smallCaps/>
          <w:lang w:val="en-US"/>
        </w:rPr>
        <w:br w:type="page"/>
      </w:r>
      <w:r w:rsidRPr="00550220">
        <w:rPr>
          <w:b/>
          <w:lang w:val="en-GB"/>
        </w:rPr>
        <w:lastRenderedPageBreak/>
        <w:t>CONTENTS</w:t>
      </w:r>
    </w:p>
    <w:p w14:paraId="02A5C0AE" w14:textId="3D93AA75" w:rsidR="00E77CCF" w:rsidRDefault="00A77E49" w:rsidP="00E77CCF">
      <w:pPr>
        <w:spacing w:before="360" w:after="360" w:line="240" w:lineRule="auto"/>
        <w:rPr>
          <w:rStyle w:val="Hyperlink"/>
          <w:b/>
          <w:smallCaps/>
          <w:lang w:val="en-GB"/>
        </w:rPr>
      </w:pPr>
      <w:hyperlink w:anchor="PARTONE" w:history="1">
        <w:r w:rsidR="00E77CCF" w:rsidRPr="000749BB">
          <w:rPr>
            <w:rStyle w:val="Hyperlink"/>
            <w:b/>
            <w:lang w:val="en-GB"/>
          </w:rPr>
          <w:t>PART ONE –</w:t>
        </w:r>
        <w:r w:rsidR="00E77CCF" w:rsidRPr="000749BB">
          <w:rPr>
            <w:rStyle w:val="Hyperlink"/>
            <w:b/>
            <w:smallCaps/>
            <w:lang w:val="en-GB"/>
          </w:rPr>
          <w:t xml:space="preserve"> Legislative Resolutions</w:t>
        </w:r>
      </w:hyperlink>
    </w:p>
    <w:p w14:paraId="64FF2265" w14:textId="4BDBE757" w:rsidR="00E77CCF" w:rsidRDefault="00A77E49" w:rsidP="00E77CCF">
      <w:pPr>
        <w:spacing w:before="360" w:after="360" w:line="240" w:lineRule="auto"/>
        <w:ind w:left="720"/>
        <w:rPr>
          <w:rStyle w:val="Hyperlink"/>
          <w:b/>
          <w:smallCaps/>
          <w:lang w:val="en-GB"/>
        </w:rPr>
      </w:pPr>
      <w:hyperlink w:anchor="OLP" w:history="1">
        <w:r w:rsidR="00E87AB1">
          <w:rPr>
            <w:rStyle w:val="Hyperlink"/>
            <w:b/>
            <w:smallCaps/>
            <w:lang w:val="en-GB"/>
          </w:rPr>
          <w:t>special</w:t>
        </w:r>
        <w:r w:rsidR="00E77CCF" w:rsidRPr="000749BB">
          <w:rPr>
            <w:rStyle w:val="Hyperlink"/>
            <w:b/>
            <w:smallCaps/>
            <w:lang w:val="en-GB"/>
          </w:rPr>
          <w:t xml:space="preserve"> legislative procedure </w:t>
        </w:r>
        <w:r w:rsidR="00E77CCF" w:rsidRPr="000749BB">
          <w:rPr>
            <w:rStyle w:val="Hyperlink"/>
            <w:szCs w:val="24"/>
            <w:lang w:val="en-GB"/>
          </w:rPr>
          <w:t>–</w:t>
        </w:r>
        <w:r w:rsidR="00E77CCF" w:rsidRPr="000749BB">
          <w:rPr>
            <w:rStyle w:val="Hyperlink"/>
            <w:b/>
            <w:smallCaps/>
            <w:lang w:val="en-GB"/>
          </w:rPr>
          <w:t xml:space="preserve"> First reading</w:t>
        </w:r>
      </w:hyperlink>
    </w:p>
    <w:p w14:paraId="2413B64F" w14:textId="6644FA5B" w:rsidR="00E77CCF" w:rsidRPr="008E5CDC" w:rsidRDefault="00A77E49" w:rsidP="00652260">
      <w:pPr>
        <w:pStyle w:val="ListParagraph"/>
        <w:numPr>
          <w:ilvl w:val="0"/>
          <w:numId w:val="40"/>
        </w:numPr>
        <w:spacing w:before="120" w:after="120" w:line="240" w:lineRule="auto"/>
        <w:ind w:left="1434" w:hanging="357"/>
        <w:contextualSpacing w:val="0"/>
        <w:jc w:val="both"/>
        <w:rPr>
          <w:lang w:val="en-GB"/>
        </w:rPr>
      </w:pPr>
      <w:hyperlink w:anchor="guidelines" w:history="1">
        <w:r w:rsidR="00E87AB1" w:rsidRPr="00E87AB1">
          <w:rPr>
            <w:rStyle w:val="Hyperlink"/>
            <w:noProof/>
            <w:szCs w:val="24"/>
            <w:lang w:val="en-GB"/>
          </w:rPr>
          <w:t>Guidelines for the employment policies of the Member States</w:t>
        </w:r>
      </w:hyperlink>
    </w:p>
    <w:p w14:paraId="20EEE92F" w14:textId="398F8571" w:rsidR="00E77CCF" w:rsidRPr="00E77CCF" w:rsidRDefault="00A77E49" w:rsidP="00E77CCF">
      <w:pPr>
        <w:spacing w:before="360" w:after="360" w:line="240" w:lineRule="auto"/>
        <w:rPr>
          <w:b/>
          <w:lang w:val="en-GB"/>
        </w:rPr>
      </w:pPr>
      <w:hyperlink w:anchor="PARTTWO" w:history="1">
        <w:r w:rsidR="00E77CCF" w:rsidRPr="00C01311">
          <w:rPr>
            <w:rStyle w:val="Hyperlink"/>
            <w:b/>
            <w:lang w:val="en-GB"/>
          </w:rPr>
          <w:t>PART TWO –</w:t>
        </w:r>
        <w:r w:rsidR="00E77CCF" w:rsidRPr="00C01311">
          <w:rPr>
            <w:rStyle w:val="Hyperlink"/>
            <w:b/>
            <w:smallCaps/>
            <w:lang w:val="en-GB"/>
          </w:rPr>
          <w:t xml:space="preserve"> Non-legislative resolutions</w:t>
        </w:r>
      </w:hyperlink>
    </w:p>
    <w:p w14:paraId="6A845E12" w14:textId="77777777" w:rsidR="000749BB" w:rsidRDefault="000749BB" w:rsidP="00935ED8">
      <w:pPr>
        <w:spacing w:before="5040" w:line="240" w:lineRule="auto"/>
        <w:jc w:val="center"/>
        <w:rPr>
          <w:b/>
          <w:sz w:val="48"/>
          <w:lang w:val="en-GB"/>
        </w:rPr>
      </w:pPr>
    </w:p>
    <w:p w14:paraId="3EA5E4D6" w14:textId="77777777" w:rsidR="000749BB" w:rsidRDefault="000749BB">
      <w:pPr>
        <w:spacing w:after="200" w:line="276" w:lineRule="auto"/>
        <w:rPr>
          <w:b/>
          <w:sz w:val="48"/>
          <w:lang w:val="en-GB"/>
        </w:rPr>
      </w:pPr>
      <w:r>
        <w:rPr>
          <w:b/>
          <w:sz w:val="48"/>
          <w:lang w:val="en-GB"/>
        </w:rPr>
        <w:br w:type="page"/>
      </w:r>
    </w:p>
    <w:p w14:paraId="14F9EFF2" w14:textId="77777777" w:rsidR="000749BB" w:rsidRDefault="000749BB" w:rsidP="00935ED8">
      <w:pPr>
        <w:spacing w:before="5040" w:line="240" w:lineRule="auto"/>
        <w:jc w:val="center"/>
        <w:rPr>
          <w:b/>
          <w:sz w:val="48"/>
          <w:lang w:val="en-GB"/>
        </w:rPr>
      </w:pPr>
    </w:p>
    <w:p w14:paraId="4E5921D9" w14:textId="29CF68F3" w:rsidR="00032279" w:rsidRDefault="00935ED8" w:rsidP="00935ED8">
      <w:pPr>
        <w:spacing w:before="5040" w:line="240" w:lineRule="auto"/>
        <w:jc w:val="center"/>
        <w:rPr>
          <w:b/>
          <w:sz w:val="48"/>
          <w:lang w:val="en-GB"/>
        </w:rPr>
      </w:pPr>
      <w:bookmarkStart w:id="1" w:name="PARTONE"/>
      <w:r w:rsidRPr="00EE64E6">
        <w:rPr>
          <w:b/>
          <w:sz w:val="48"/>
          <w:lang w:val="en-GB"/>
        </w:rPr>
        <w:t>Part One</w:t>
      </w:r>
      <w:r w:rsidRPr="00EE64E6">
        <w:rPr>
          <w:lang w:val="en-GB"/>
        </w:rPr>
        <w:br/>
      </w:r>
      <w:r w:rsidRPr="00EE64E6">
        <w:rPr>
          <w:b/>
          <w:sz w:val="48"/>
          <w:lang w:val="en-GB"/>
        </w:rPr>
        <w:t>Legislative opinions</w:t>
      </w:r>
    </w:p>
    <w:bookmarkEnd w:id="1"/>
    <w:p w14:paraId="1E97398A" w14:textId="4CEFDB19" w:rsidR="00032279" w:rsidRDefault="00032279">
      <w:pPr>
        <w:spacing w:after="200" w:line="276" w:lineRule="auto"/>
        <w:rPr>
          <w:b/>
          <w:sz w:val="48"/>
          <w:lang w:val="en-GB"/>
        </w:rPr>
      </w:pPr>
    </w:p>
    <w:p w14:paraId="244A2CD8" w14:textId="5A456E91" w:rsidR="000749BB" w:rsidRDefault="000749BB">
      <w:pPr>
        <w:spacing w:after="200" w:line="276" w:lineRule="auto"/>
        <w:rPr>
          <w:b/>
          <w:sz w:val="48"/>
          <w:lang w:val="en-GB"/>
        </w:rPr>
      </w:pPr>
      <w:r>
        <w:rPr>
          <w:b/>
          <w:sz w:val="48"/>
          <w:lang w:val="en-GB"/>
        </w:rPr>
        <w:br w:type="page"/>
      </w:r>
    </w:p>
    <w:p w14:paraId="049E0FC1" w14:textId="77777777" w:rsidR="00620222" w:rsidRPr="00FC0CF0" w:rsidRDefault="00620222" w:rsidP="00620222">
      <w:pPr>
        <w:spacing w:after="240" w:line="240" w:lineRule="auto"/>
        <w:jc w:val="center"/>
        <w:rPr>
          <w:lang w:val="en-GB"/>
        </w:rPr>
      </w:pPr>
      <w:bookmarkStart w:id="2" w:name="FADO"/>
      <w:r>
        <w:rPr>
          <w:b/>
          <w:lang w:val="en-GB"/>
        </w:rPr>
        <w:lastRenderedPageBreak/>
        <w:t>SPECIAL</w:t>
      </w:r>
      <w:r w:rsidRPr="00FC0CF0">
        <w:rPr>
          <w:b/>
          <w:lang w:val="en-GB"/>
        </w:rPr>
        <w:t xml:space="preserve"> LEGISLATIVE </w:t>
      </w:r>
      <w:r w:rsidRPr="00FC0CF0">
        <w:rPr>
          <w:b/>
          <w:caps/>
          <w:lang w:val="en-GB"/>
        </w:rPr>
        <w:t>procedure</w:t>
      </w:r>
      <w:r w:rsidRPr="00FC0CF0">
        <w:rPr>
          <w:b/>
          <w:lang w:val="en-GB"/>
        </w:rPr>
        <w:t xml:space="preserve"> – First reading</w:t>
      </w:r>
    </w:p>
    <w:bookmarkEnd w:id="2"/>
    <w:p w14:paraId="3ECF07F3" w14:textId="77777777" w:rsidR="00620222" w:rsidRPr="00A21FED" w:rsidRDefault="00620222" w:rsidP="00620222">
      <w:pPr>
        <w:spacing w:after="600"/>
        <w:jc w:val="center"/>
        <w:rPr>
          <w:b/>
          <w:bCs/>
          <w:lang w:val="en-GB"/>
        </w:rPr>
      </w:pPr>
      <w:r w:rsidRPr="006957A3">
        <w:rPr>
          <w:b/>
          <w:bCs/>
          <w:szCs w:val="24"/>
          <w:lang w:val="en-GB"/>
        </w:rPr>
        <w:t xml:space="preserve">Follow up to the </w:t>
      </w:r>
      <w:r w:rsidRPr="006957A3">
        <w:rPr>
          <w:b/>
          <w:lang w:val="en-GB"/>
        </w:rPr>
        <w:t xml:space="preserve">European Parliament legislative </w:t>
      </w:r>
      <w:r>
        <w:rPr>
          <w:b/>
          <w:lang w:val="en-GB"/>
        </w:rPr>
        <w:t>resolution</w:t>
      </w:r>
      <w:r w:rsidRPr="006957A3">
        <w:rPr>
          <w:b/>
          <w:bCs/>
          <w:lang w:val="en-GB"/>
        </w:rPr>
        <w:t xml:space="preserve"> </w:t>
      </w:r>
      <w:r w:rsidRPr="00A21FED">
        <w:rPr>
          <w:b/>
          <w:bCs/>
          <w:lang w:val="en-GB"/>
        </w:rPr>
        <w:t>on the proposal for a Council decision on guidelines for the employment policies of the Member States</w:t>
      </w:r>
    </w:p>
    <w:p w14:paraId="2770CEE5" w14:textId="77777777" w:rsidR="00620222" w:rsidRPr="00016157" w:rsidRDefault="00620222" w:rsidP="00620222">
      <w:pPr>
        <w:spacing w:after="240"/>
        <w:ind w:left="567" w:hanging="567"/>
        <w:jc w:val="both"/>
        <w:rPr>
          <w:szCs w:val="24"/>
          <w:lang w:val="en-GB"/>
        </w:rPr>
      </w:pPr>
      <w:r w:rsidRPr="00016157">
        <w:rPr>
          <w:b/>
          <w:lang w:val="en-GB"/>
        </w:rPr>
        <w:t>1.</w:t>
      </w:r>
      <w:r w:rsidRPr="00016157">
        <w:rPr>
          <w:b/>
          <w:lang w:val="en-GB"/>
        </w:rPr>
        <w:tab/>
        <w:t xml:space="preserve">Rapporteur: </w:t>
      </w:r>
      <w:r w:rsidRPr="00016157">
        <w:rPr>
          <w:noProof/>
          <w:szCs w:val="24"/>
          <w:lang w:val="en-GB"/>
        </w:rPr>
        <w:t xml:space="preserve">Alicia HOMS GINEL </w:t>
      </w:r>
      <w:r w:rsidRPr="00016157">
        <w:rPr>
          <w:color w:val="1E1E1F"/>
          <w:szCs w:val="24"/>
          <w:lang w:val="en-GB"/>
        </w:rPr>
        <w:t>(S&amp;D / SP)</w:t>
      </w:r>
    </w:p>
    <w:p w14:paraId="2DBDE3F6" w14:textId="77777777" w:rsidR="00620222" w:rsidRPr="00F42D18" w:rsidRDefault="00620222" w:rsidP="00620222">
      <w:pPr>
        <w:spacing w:after="240"/>
        <w:ind w:left="567" w:hanging="567"/>
        <w:jc w:val="both"/>
        <w:rPr>
          <w:lang w:val="en-GB"/>
        </w:rPr>
      </w:pPr>
      <w:r w:rsidRPr="00AC338E">
        <w:rPr>
          <w:b/>
          <w:lang w:val="en-GB"/>
        </w:rPr>
        <w:t>2.</w:t>
      </w:r>
      <w:r w:rsidRPr="00AC338E">
        <w:rPr>
          <w:b/>
          <w:lang w:val="en-GB"/>
        </w:rPr>
        <w:tab/>
        <w:t>Reference numbers:</w:t>
      </w:r>
      <w:r w:rsidRPr="00AC338E">
        <w:rPr>
          <w:lang w:val="en-GB"/>
        </w:rPr>
        <w:t xml:space="preserve"> 20</w:t>
      </w:r>
      <w:r>
        <w:rPr>
          <w:lang w:val="en-GB"/>
        </w:rPr>
        <w:t>22</w:t>
      </w:r>
      <w:r w:rsidRPr="00AC338E">
        <w:rPr>
          <w:lang w:val="en-GB"/>
        </w:rPr>
        <w:t>/0</w:t>
      </w:r>
      <w:r>
        <w:rPr>
          <w:lang w:val="en-GB"/>
        </w:rPr>
        <w:t>165</w:t>
      </w:r>
      <w:r w:rsidRPr="00AC338E">
        <w:rPr>
          <w:lang w:val="en-GB"/>
        </w:rPr>
        <w:t xml:space="preserve"> (</w:t>
      </w:r>
      <w:r>
        <w:rPr>
          <w:lang w:val="en-GB"/>
        </w:rPr>
        <w:t>NLE</w:t>
      </w:r>
      <w:r w:rsidRPr="00AC338E">
        <w:rPr>
          <w:lang w:val="en-GB"/>
        </w:rPr>
        <w:t xml:space="preserve">) </w:t>
      </w:r>
      <w:r w:rsidRPr="006957A3">
        <w:rPr>
          <w:lang w:val="en-GB"/>
        </w:rPr>
        <w:t xml:space="preserve">/ </w:t>
      </w:r>
      <w:r>
        <w:rPr>
          <w:lang w:val="en-GB"/>
        </w:rPr>
        <w:t>A9-0243/2022 / P9_TA</w:t>
      </w:r>
      <w:r w:rsidRPr="006957A3">
        <w:rPr>
          <w:lang w:val="en-GB"/>
        </w:rPr>
        <w:t>(2022)0</w:t>
      </w:r>
      <w:r>
        <w:rPr>
          <w:lang w:val="en-GB"/>
        </w:rPr>
        <w:t>359</w:t>
      </w:r>
    </w:p>
    <w:p w14:paraId="68DF13C1" w14:textId="77777777" w:rsidR="00620222" w:rsidRPr="00FC0CF0" w:rsidRDefault="00620222" w:rsidP="00620222">
      <w:pPr>
        <w:spacing w:after="240"/>
        <w:ind w:left="567" w:hanging="567"/>
        <w:rPr>
          <w:lang w:val="en-GB"/>
        </w:rPr>
      </w:pPr>
      <w:r w:rsidRPr="00FC0CF0">
        <w:rPr>
          <w:b/>
          <w:lang w:val="en-GB"/>
        </w:rPr>
        <w:t>3.</w:t>
      </w:r>
      <w:r w:rsidRPr="00FC0CF0">
        <w:rPr>
          <w:b/>
          <w:lang w:val="en-GB"/>
        </w:rPr>
        <w:tab/>
        <w:t>Date of adoption of the resolution:</w:t>
      </w:r>
      <w:r w:rsidRPr="00DE762C">
        <w:rPr>
          <w:lang w:val="en-GB"/>
        </w:rPr>
        <w:t xml:space="preserve"> </w:t>
      </w:r>
      <w:r>
        <w:rPr>
          <w:lang w:val="en-GB"/>
        </w:rPr>
        <w:t xml:space="preserve">18 October </w:t>
      </w:r>
      <w:r w:rsidRPr="007859CD">
        <w:rPr>
          <w:lang w:val="en-GB"/>
        </w:rPr>
        <w:t>202</w:t>
      </w:r>
      <w:r>
        <w:rPr>
          <w:lang w:val="en-GB"/>
        </w:rPr>
        <w:t>2</w:t>
      </w:r>
    </w:p>
    <w:p w14:paraId="5105C694" w14:textId="77777777" w:rsidR="00620222" w:rsidRPr="00FD5BA5" w:rsidRDefault="00620222" w:rsidP="00620222">
      <w:pPr>
        <w:spacing w:after="240"/>
        <w:ind w:left="567" w:hanging="567"/>
        <w:jc w:val="both"/>
        <w:rPr>
          <w:lang w:val="en-GB"/>
        </w:rPr>
      </w:pPr>
      <w:r w:rsidRPr="00FC0CF0">
        <w:rPr>
          <w:b/>
          <w:lang w:val="en-GB"/>
        </w:rPr>
        <w:t>4.</w:t>
      </w:r>
      <w:r w:rsidRPr="00FC0CF0">
        <w:rPr>
          <w:b/>
          <w:lang w:val="en-GB"/>
        </w:rPr>
        <w:tab/>
        <w:t xml:space="preserve">Legal basis: </w:t>
      </w:r>
      <w:r w:rsidRPr="0036264F">
        <w:rPr>
          <w:szCs w:val="24"/>
          <w:lang w:val="en-GB"/>
        </w:rPr>
        <w:t xml:space="preserve">Article </w:t>
      </w:r>
      <w:r>
        <w:rPr>
          <w:szCs w:val="24"/>
          <w:lang w:val="en-GB"/>
        </w:rPr>
        <w:t>148(2)</w:t>
      </w:r>
      <w:r w:rsidRPr="0036264F">
        <w:rPr>
          <w:szCs w:val="24"/>
          <w:lang w:val="en-GB"/>
        </w:rPr>
        <w:t xml:space="preserve"> </w:t>
      </w:r>
      <w:r w:rsidRPr="006957A3">
        <w:rPr>
          <w:szCs w:val="24"/>
          <w:lang w:val="en-GB"/>
        </w:rPr>
        <w:t>of the Treaty</w:t>
      </w:r>
      <w:r w:rsidRPr="00FD5BA5">
        <w:rPr>
          <w:szCs w:val="24"/>
          <w:lang w:val="en-GB"/>
        </w:rPr>
        <w:t xml:space="preserve"> on the Functioning of the European Union</w:t>
      </w:r>
    </w:p>
    <w:p w14:paraId="659FF215" w14:textId="77777777" w:rsidR="00620222" w:rsidRPr="00FC0CF0" w:rsidRDefault="00620222" w:rsidP="00620222">
      <w:pPr>
        <w:shd w:val="clear" w:color="auto" w:fill="FFFFFF"/>
        <w:spacing w:after="240" w:line="288" w:lineRule="atLeast"/>
        <w:ind w:left="567" w:hanging="567"/>
        <w:jc w:val="both"/>
        <w:textAlignment w:val="center"/>
        <w:rPr>
          <w:i/>
          <w:lang w:val="en-GB"/>
        </w:rPr>
      </w:pPr>
      <w:r w:rsidRPr="00FC0CF0">
        <w:rPr>
          <w:b/>
          <w:lang w:val="en-GB"/>
        </w:rPr>
        <w:t>5.</w:t>
      </w:r>
      <w:r w:rsidRPr="00FC0CF0">
        <w:rPr>
          <w:b/>
          <w:lang w:val="en-GB"/>
        </w:rPr>
        <w:tab/>
        <w:t xml:space="preserve">Competent Parliamentary Committee: </w:t>
      </w:r>
      <w:r>
        <w:rPr>
          <w:lang w:val="en-GB"/>
        </w:rPr>
        <w:t>Committee on Employment and Social Affairs (EMPL)</w:t>
      </w:r>
    </w:p>
    <w:p w14:paraId="4416F30F" w14:textId="77777777" w:rsidR="00620222" w:rsidRDefault="00620222" w:rsidP="00620222">
      <w:pPr>
        <w:spacing w:after="240"/>
        <w:ind w:left="567" w:hanging="567"/>
        <w:jc w:val="both"/>
        <w:rPr>
          <w:color w:val="000000"/>
          <w:szCs w:val="24"/>
          <w:lang w:val="en-GB"/>
        </w:rPr>
      </w:pPr>
      <w:r w:rsidRPr="00FC0CF0">
        <w:rPr>
          <w:b/>
          <w:lang w:val="en-GB"/>
        </w:rPr>
        <w:t>6.</w:t>
      </w:r>
      <w:r w:rsidRPr="00FC0CF0">
        <w:rPr>
          <w:b/>
          <w:lang w:val="en-GB"/>
        </w:rPr>
        <w:tab/>
        <w:t>Commission's position:</w:t>
      </w:r>
      <w:r w:rsidRPr="00FC0CF0">
        <w:rPr>
          <w:color w:val="000000"/>
          <w:sz w:val="22"/>
          <w:szCs w:val="22"/>
          <w:lang w:val="en-GB"/>
        </w:rPr>
        <w:t xml:space="preserve"> </w:t>
      </w:r>
      <w:r>
        <w:rPr>
          <w:color w:val="000000"/>
          <w:szCs w:val="24"/>
          <w:lang w:val="en-GB"/>
        </w:rPr>
        <w:t>Accepts some amendments.</w:t>
      </w:r>
    </w:p>
    <w:p w14:paraId="3F7761B6" w14:textId="77777777" w:rsidR="00620222" w:rsidRDefault="00620222" w:rsidP="00620222">
      <w:pPr>
        <w:pStyle w:val="Text1"/>
        <w:spacing w:after="120"/>
        <w:ind w:left="0"/>
        <w:rPr>
          <w:szCs w:val="24"/>
        </w:rPr>
      </w:pPr>
      <w:r>
        <w:rPr>
          <w:szCs w:val="24"/>
        </w:rPr>
        <w:t>The Commission regards the wording of the Commission proposal for a Council decision on guidelines for the employment policies of the Member States as balanced and appropriate.</w:t>
      </w:r>
    </w:p>
    <w:p w14:paraId="61EC6619" w14:textId="0DC2B209" w:rsidR="00620222" w:rsidRDefault="00620222" w:rsidP="00620222">
      <w:pPr>
        <w:pStyle w:val="Text1"/>
        <w:widowControl w:val="0"/>
        <w:spacing w:after="120"/>
        <w:ind w:left="0"/>
        <w:rPr>
          <w:szCs w:val="24"/>
        </w:rPr>
      </w:pPr>
      <w:r>
        <w:rPr>
          <w:szCs w:val="24"/>
        </w:rPr>
        <w:t xml:space="preserve">After a thorough review of the amendments adopted by the European Parliament, the Commission is of the opinion that </w:t>
      </w:r>
      <w:r>
        <w:rPr>
          <w:b/>
          <w:szCs w:val="24"/>
        </w:rPr>
        <w:t xml:space="preserve">most of them are (in content and/ or nature) </w:t>
      </w:r>
      <w:r>
        <w:rPr>
          <w:b/>
          <w:bCs/>
          <w:szCs w:val="24"/>
        </w:rPr>
        <w:t>already part</w:t>
      </w:r>
      <w:r>
        <w:rPr>
          <w:szCs w:val="24"/>
        </w:rPr>
        <w:t xml:space="preserve"> of the Employment Guidelines or mentioned in recitals. In some cases, they call for the adoption of new (legislative) initiatives, which does not seem appropriate in this context</w:t>
      </w:r>
      <w:r>
        <w:rPr>
          <w:rStyle w:val="FootnoteReference"/>
          <w:szCs w:val="24"/>
        </w:rPr>
        <w:footnoteReference w:id="1"/>
      </w:r>
      <w:r>
        <w:rPr>
          <w:szCs w:val="24"/>
        </w:rPr>
        <w:t xml:space="preserve"> or for example ask </w:t>
      </w:r>
      <w:r>
        <w:t xml:space="preserve">to put the European Parliament on equal footing with the Council as concerns the </w:t>
      </w:r>
      <w:r>
        <w:rPr>
          <w:bCs/>
        </w:rPr>
        <w:t>definition of the Integrated Guidelines for Growth and Jobs, though this would require a Treaty change of Article 148 TFEU that defines the role of the legislator.</w:t>
      </w:r>
    </w:p>
    <w:p w14:paraId="4515A4E6" w14:textId="77777777" w:rsidR="00620222" w:rsidRDefault="00620222" w:rsidP="00620222">
      <w:pPr>
        <w:pStyle w:val="Text1"/>
        <w:widowControl w:val="0"/>
        <w:spacing w:after="120"/>
        <w:ind w:left="0"/>
        <w:rPr>
          <w:szCs w:val="24"/>
        </w:rPr>
      </w:pPr>
      <w:r>
        <w:rPr>
          <w:szCs w:val="24"/>
        </w:rPr>
        <w:t>In light of this, the Commission could accept wording from the following amendments:</w:t>
      </w:r>
    </w:p>
    <w:p w14:paraId="6A63E0E5" w14:textId="7E039CD3" w:rsidR="00620222" w:rsidRDefault="00620222" w:rsidP="00620222">
      <w:pPr>
        <w:pStyle w:val="Text1"/>
        <w:widowControl w:val="0"/>
        <w:numPr>
          <w:ilvl w:val="0"/>
          <w:numId w:val="44"/>
        </w:numPr>
        <w:spacing w:after="120"/>
        <w:ind w:left="927"/>
        <w:rPr>
          <w:szCs w:val="24"/>
        </w:rPr>
      </w:pPr>
      <w:r>
        <w:rPr>
          <w:szCs w:val="24"/>
        </w:rPr>
        <w:t>The Commission could accept the following addition (</w:t>
      </w:r>
      <w:r>
        <w:rPr>
          <w:b/>
          <w:bCs/>
          <w:szCs w:val="24"/>
        </w:rPr>
        <w:t>in bold</w:t>
      </w:r>
      <w:r>
        <w:rPr>
          <w:szCs w:val="24"/>
        </w:rPr>
        <w:t xml:space="preserve">) in </w:t>
      </w:r>
      <w:r>
        <w:rPr>
          <w:i/>
          <w:iCs/>
          <w:szCs w:val="24"/>
        </w:rPr>
        <w:t>recital 3</w:t>
      </w:r>
      <w:r>
        <w:rPr>
          <w:szCs w:val="24"/>
        </w:rPr>
        <w:t>: “</w:t>
      </w:r>
      <w:r>
        <w:t>In accordance with the TFEU, the Union has developed and implemented policy coordination instruments for economic and employment policies. As part of those instruments, the Guidelines for the Employment Policies of the Member States(the ‘Guidelines’) set out in the Annex to this decision, together with the Broad Guidelines for the Economic Policies of the Member States and of the Union set out in Council Recommendation (EU) 2015/1184, form the Integrated Guidelines. They are to guide policy implementation in the Member States and in the Union, reflecting the interdependence between the Member States. The resulting set of coordinated European</w:t>
      </w:r>
      <w:r>
        <w:rPr>
          <w:b/>
          <w:i/>
        </w:rPr>
        <w:t>,</w:t>
      </w:r>
      <w:r>
        <w:t xml:space="preserve"> national policies and reforms are to constitute an appropriate overall sustainable economic</w:t>
      </w:r>
      <w:r>
        <w:rPr>
          <w:b/>
          <w:i/>
        </w:rPr>
        <w:t>,</w:t>
      </w:r>
      <w:r>
        <w:t xml:space="preserve"> employment </w:t>
      </w:r>
      <w:r>
        <w:rPr>
          <w:b/>
          <w:iCs/>
        </w:rPr>
        <w:t>and social</w:t>
      </w:r>
      <w:r>
        <w:t xml:space="preserve"> policy mix, which should achieve positive spill over effects.</w:t>
      </w:r>
      <w:r>
        <w:rPr>
          <w:szCs w:val="24"/>
        </w:rPr>
        <w:t>”, as they indeed also guide an appropriate social policy mix.</w:t>
      </w:r>
    </w:p>
    <w:p w14:paraId="14B7AD20" w14:textId="724C4328" w:rsidR="00620222" w:rsidRDefault="00620222" w:rsidP="00620222">
      <w:pPr>
        <w:pStyle w:val="Text1"/>
        <w:widowControl w:val="0"/>
        <w:numPr>
          <w:ilvl w:val="0"/>
          <w:numId w:val="44"/>
        </w:numPr>
        <w:spacing w:after="120"/>
        <w:ind w:left="927"/>
        <w:rPr>
          <w:szCs w:val="24"/>
        </w:rPr>
      </w:pPr>
      <w:r>
        <w:rPr>
          <w:szCs w:val="24"/>
        </w:rPr>
        <w:t xml:space="preserve">The Commission could accept in </w:t>
      </w:r>
      <w:r>
        <w:rPr>
          <w:i/>
          <w:iCs/>
          <w:szCs w:val="24"/>
        </w:rPr>
        <w:t>recital 4</w:t>
      </w:r>
      <w:r>
        <w:rPr>
          <w:szCs w:val="24"/>
        </w:rPr>
        <w:t xml:space="preserve"> the addition of references to </w:t>
      </w:r>
      <w:r>
        <w:rPr>
          <w:bCs/>
          <w:iCs/>
        </w:rPr>
        <w:t>the proposal for a Directive of the European Parliament and of the Council on improving the gender balance among non-executive directors of companies listed on stock exchanges and related measures</w:t>
      </w:r>
      <w:r>
        <w:rPr>
          <w:bCs/>
          <w:iCs/>
          <w:szCs w:val="24"/>
        </w:rPr>
        <w:t xml:space="preserve"> and </w:t>
      </w:r>
      <w:r>
        <w:rPr>
          <w:bCs/>
          <w:iCs/>
        </w:rPr>
        <w:t xml:space="preserve">the proposal for Regulation of the European </w:t>
      </w:r>
      <w:r>
        <w:rPr>
          <w:bCs/>
          <w:iCs/>
        </w:rPr>
        <w:lastRenderedPageBreak/>
        <w:t>Parliament and of the Council on establishing a Social Climate Fund</w:t>
      </w:r>
      <w:r>
        <w:rPr>
          <w:szCs w:val="24"/>
        </w:rPr>
        <w:t xml:space="preserve"> (</w:t>
      </w:r>
      <w:r>
        <w:rPr>
          <w:b/>
          <w:bCs/>
          <w:szCs w:val="24"/>
        </w:rPr>
        <w:t>in bold</w:t>
      </w:r>
      <w:r>
        <w:rPr>
          <w:szCs w:val="24"/>
        </w:rPr>
        <w:t xml:space="preserve">): “[…] </w:t>
      </w:r>
      <w:bookmarkStart w:id="3" w:name="_Hlk115976621"/>
      <w:r>
        <w:rPr>
          <w:b/>
        </w:rPr>
        <w:t>the Proposal for a Directive of the European Parliament and of the Council on improving the gender balance among non-executive directors of companies listed on stock exchanges and related measures</w:t>
      </w:r>
      <w:bookmarkEnd w:id="3"/>
      <w:r>
        <w:t>, the Proposal for a Directive of the European Parliament and of the Council on improving working conditions in platform work</w:t>
      </w:r>
      <w:r>
        <w:rPr>
          <w:b/>
        </w:rPr>
        <w:t xml:space="preserve">, </w:t>
      </w:r>
      <w:bookmarkStart w:id="4" w:name="_Hlk115976634"/>
      <w:r>
        <w:rPr>
          <w:b/>
        </w:rPr>
        <w:t>the Proposal for Regulation of the European Parliament and of the Council on establishing a Social Climate Fund</w:t>
      </w:r>
      <w:bookmarkEnd w:id="4"/>
      <w:r>
        <w:rPr>
          <w:szCs w:val="24"/>
        </w:rPr>
        <w:t>[…]”.</w:t>
      </w:r>
    </w:p>
    <w:p w14:paraId="657968BC" w14:textId="6791D665" w:rsidR="00620222" w:rsidRDefault="00620222" w:rsidP="00620222">
      <w:pPr>
        <w:pStyle w:val="Text1"/>
        <w:widowControl w:val="0"/>
        <w:numPr>
          <w:ilvl w:val="0"/>
          <w:numId w:val="44"/>
        </w:numPr>
        <w:spacing w:after="120"/>
        <w:ind w:left="927"/>
        <w:rPr>
          <w:b/>
          <w:szCs w:val="24"/>
        </w:rPr>
      </w:pPr>
      <w:r>
        <w:rPr>
          <w:szCs w:val="24"/>
        </w:rPr>
        <w:t>The Commission could accept a reference to “</w:t>
      </w:r>
      <w:r>
        <w:rPr>
          <w:b/>
          <w:bCs/>
          <w:szCs w:val="24"/>
        </w:rPr>
        <w:t>mental health</w:t>
      </w:r>
      <w:r>
        <w:rPr>
          <w:szCs w:val="24"/>
        </w:rPr>
        <w:t xml:space="preserve">” as proposed in </w:t>
      </w:r>
      <w:r w:rsidR="004B2F3C">
        <w:rPr>
          <w:i/>
          <w:iCs/>
          <w:szCs w:val="24"/>
        </w:rPr>
        <w:t>recital </w:t>
      </w:r>
      <w:r>
        <w:rPr>
          <w:i/>
          <w:iCs/>
          <w:szCs w:val="24"/>
        </w:rPr>
        <w:t>5</w:t>
      </w:r>
      <w:r>
        <w:rPr>
          <w:szCs w:val="24"/>
        </w:rPr>
        <w:t xml:space="preserve"> a new “</w:t>
      </w:r>
      <w:r>
        <w:rPr>
          <w:b/>
        </w:rPr>
        <w:t>In order to effectively eradicate risks at work, both mental and physical health should be protected”</w:t>
      </w:r>
      <w:r>
        <w:rPr>
          <w:szCs w:val="24"/>
        </w:rPr>
        <w:t xml:space="preserve">, but would prefer to make the reference as provisionally agreed by EMCO in </w:t>
      </w:r>
      <w:r>
        <w:rPr>
          <w:b/>
          <w:i/>
          <w:iCs/>
          <w:szCs w:val="24"/>
        </w:rPr>
        <w:t>Guideline 7</w:t>
      </w:r>
      <w:r>
        <w:rPr>
          <w:b/>
          <w:szCs w:val="24"/>
        </w:rPr>
        <w:t>,</w:t>
      </w:r>
      <w:r>
        <w:rPr>
          <w:szCs w:val="24"/>
        </w:rPr>
        <w:t xml:space="preserve"> where it fits better “</w:t>
      </w:r>
      <w:r>
        <w:rPr>
          <w:noProof/>
          <w:lang w:val="en-IE"/>
        </w:rPr>
        <w:t xml:space="preserve">At the same time, it is important to ensure that the workers’ rights in terms of working time, working conditions, </w:t>
      </w:r>
      <w:r>
        <w:rPr>
          <w:b/>
          <w:bCs/>
          <w:noProof/>
          <w:lang w:val="en-IE"/>
        </w:rPr>
        <w:t>mental health at work,</w:t>
      </w:r>
      <w:r>
        <w:rPr>
          <w:noProof/>
          <w:lang w:val="en-IE"/>
        </w:rPr>
        <w:t xml:space="preserve"> and work-life balance are respected.”</w:t>
      </w:r>
    </w:p>
    <w:p w14:paraId="7DB3D267" w14:textId="77777777" w:rsidR="00620222" w:rsidRDefault="00620222" w:rsidP="00620222">
      <w:pPr>
        <w:pStyle w:val="Text1"/>
        <w:widowControl w:val="0"/>
        <w:numPr>
          <w:ilvl w:val="0"/>
          <w:numId w:val="44"/>
        </w:numPr>
        <w:spacing w:after="120"/>
        <w:ind w:left="927"/>
        <w:rPr>
          <w:szCs w:val="24"/>
        </w:rPr>
      </w:pPr>
      <w:r>
        <w:rPr>
          <w:szCs w:val="24"/>
        </w:rPr>
        <w:t xml:space="preserve">The Commission could accept in </w:t>
      </w:r>
      <w:r>
        <w:rPr>
          <w:i/>
          <w:iCs/>
          <w:szCs w:val="24"/>
        </w:rPr>
        <w:t>Guideline 6, para 2</w:t>
      </w:r>
      <w:r>
        <w:rPr>
          <w:szCs w:val="24"/>
        </w:rPr>
        <w:t>, the addition of referencing to the “</w:t>
      </w:r>
      <w:r>
        <w:rPr>
          <w:b/>
          <w:bCs/>
          <w:szCs w:val="24"/>
        </w:rPr>
        <w:t>Barcelona targets</w:t>
      </w:r>
      <w:r>
        <w:rPr>
          <w:szCs w:val="24"/>
        </w:rPr>
        <w:t>” (</w:t>
      </w:r>
      <w:r>
        <w:rPr>
          <w:b/>
          <w:bCs/>
          <w:szCs w:val="24"/>
        </w:rPr>
        <w:t>in bold</w:t>
      </w:r>
      <w:r>
        <w:rPr>
          <w:szCs w:val="24"/>
        </w:rPr>
        <w:t xml:space="preserve">): </w:t>
      </w:r>
      <w:r>
        <w:t xml:space="preserve">In particular, children should be provided access to </w:t>
      </w:r>
      <w:r>
        <w:rPr>
          <w:bCs/>
          <w:iCs/>
        </w:rPr>
        <w:t>good</w:t>
      </w:r>
      <w:r>
        <w:t xml:space="preserve"> quality early childhood education and care, in line with the European Child Guarantee </w:t>
      </w:r>
      <w:r>
        <w:rPr>
          <w:b/>
          <w:i/>
        </w:rPr>
        <w:t>and the Barcelona targets</w:t>
      </w:r>
      <w:r>
        <w:t>.” as it is in line with the Commission proposal and well reflects the proposed revision of the Barcelona targets.</w:t>
      </w:r>
    </w:p>
    <w:p w14:paraId="769BBF03" w14:textId="77777777" w:rsidR="00620222" w:rsidRDefault="00620222" w:rsidP="00620222">
      <w:pPr>
        <w:pStyle w:val="Text1"/>
        <w:widowControl w:val="0"/>
        <w:numPr>
          <w:ilvl w:val="0"/>
          <w:numId w:val="44"/>
        </w:numPr>
        <w:spacing w:after="120"/>
        <w:ind w:left="927"/>
        <w:rPr>
          <w:szCs w:val="24"/>
        </w:rPr>
      </w:pPr>
      <w:r>
        <w:rPr>
          <w:szCs w:val="24"/>
        </w:rPr>
        <w:t xml:space="preserve">The Commission could accept in </w:t>
      </w:r>
      <w:r>
        <w:rPr>
          <w:i/>
          <w:iCs/>
          <w:szCs w:val="24"/>
        </w:rPr>
        <w:t>Guideline 7, para 5</w:t>
      </w:r>
      <w:r>
        <w:rPr>
          <w:szCs w:val="24"/>
        </w:rPr>
        <w:t>, the reference to “</w:t>
      </w:r>
      <w:r>
        <w:rPr>
          <w:b/>
          <w:bCs/>
          <w:szCs w:val="24"/>
        </w:rPr>
        <w:t>labour law</w:t>
      </w:r>
      <w:r>
        <w:rPr>
          <w:szCs w:val="24"/>
        </w:rPr>
        <w:t>” (</w:t>
      </w:r>
      <w:r>
        <w:rPr>
          <w:b/>
          <w:bCs/>
          <w:szCs w:val="24"/>
        </w:rPr>
        <w:t>in bold</w:t>
      </w:r>
      <w:r>
        <w:rPr>
          <w:szCs w:val="24"/>
        </w:rPr>
        <w:t>): “</w:t>
      </w:r>
      <w:r>
        <w:t xml:space="preserve">Member States should also strive to create the appropriate conditions for new forms of work, delivering on their job-creation potential while ensuring they are compliant with existing </w:t>
      </w:r>
      <w:r>
        <w:rPr>
          <w:b/>
          <w:iCs/>
        </w:rPr>
        <w:t>labour law and</w:t>
      </w:r>
      <w:r>
        <w:t xml:space="preserve"> social rights.” as it is correct that new forms of work should also be compliant with labour law.</w:t>
      </w:r>
    </w:p>
    <w:p w14:paraId="4FFBD132" w14:textId="77777777" w:rsidR="00620222" w:rsidRDefault="00620222" w:rsidP="00620222">
      <w:pPr>
        <w:pStyle w:val="Text1"/>
        <w:widowControl w:val="0"/>
        <w:numPr>
          <w:ilvl w:val="0"/>
          <w:numId w:val="44"/>
        </w:numPr>
        <w:spacing w:after="120"/>
        <w:ind w:left="927"/>
        <w:rPr>
          <w:szCs w:val="24"/>
        </w:rPr>
      </w:pPr>
      <w:r>
        <w:t xml:space="preserve">The Commission could accept in </w:t>
      </w:r>
      <w:r>
        <w:rPr>
          <w:i/>
          <w:iCs/>
        </w:rPr>
        <w:t>Guideline 7, para 7</w:t>
      </w:r>
      <w:r>
        <w:t>, the reference to “</w:t>
      </w:r>
      <w:r>
        <w:rPr>
          <w:b/>
          <w:bCs/>
        </w:rPr>
        <w:t>the rising cost of living</w:t>
      </w:r>
      <w:r>
        <w:t>” (</w:t>
      </w:r>
      <w:r>
        <w:rPr>
          <w:b/>
          <w:bCs/>
        </w:rPr>
        <w:t>in bold</w:t>
      </w:r>
      <w:r>
        <w:t>): “Building on existing national practices, and in order to achieve more effective social dialogue and better socio-economic outcomes, including in crisis times like with the war in Ukraine</w:t>
      </w:r>
      <w:r>
        <w:rPr>
          <w:b/>
          <w:bCs/>
        </w:rPr>
        <w:t xml:space="preserve"> and the rising cost of living,</w:t>
      </w:r>
      <w:r>
        <w:t xml:space="preserve"> the Member States should ensure the timely and meaningful involvement of the social partners in the design and implementation of employment, social and, where relevant, economic reforms and policies, including by supporting increased capacity of the social partners.” as social dialogue has also an important role to play in this respect.</w:t>
      </w:r>
    </w:p>
    <w:p w14:paraId="0A9555CA" w14:textId="77777777" w:rsidR="00620222" w:rsidRDefault="00620222" w:rsidP="00620222">
      <w:pPr>
        <w:pStyle w:val="Text1"/>
        <w:widowControl w:val="0"/>
        <w:numPr>
          <w:ilvl w:val="0"/>
          <w:numId w:val="44"/>
        </w:numPr>
        <w:spacing w:after="120"/>
        <w:ind w:left="927"/>
        <w:rPr>
          <w:szCs w:val="24"/>
        </w:rPr>
      </w:pPr>
      <w:r>
        <w:rPr>
          <w:szCs w:val="24"/>
        </w:rPr>
        <w:t xml:space="preserve">The Commission could accept in </w:t>
      </w:r>
      <w:r>
        <w:rPr>
          <w:i/>
          <w:iCs/>
          <w:szCs w:val="24"/>
        </w:rPr>
        <w:t>Guideline 8, para 5</w:t>
      </w:r>
      <w:r>
        <w:rPr>
          <w:szCs w:val="24"/>
        </w:rPr>
        <w:t>, the addition of “</w:t>
      </w:r>
      <w:r>
        <w:rPr>
          <w:b/>
          <w:bCs/>
          <w:szCs w:val="24"/>
        </w:rPr>
        <w:t>good quality</w:t>
      </w:r>
      <w:r>
        <w:rPr>
          <w:szCs w:val="24"/>
        </w:rPr>
        <w:t>” (</w:t>
      </w:r>
      <w:r>
        <w:rPr>
          <w:b/>
          <w:bCs/>
          <w:szCs w:val="24"/>
        </w:rPr>
        <w:t>in bold</w:t>
      </w:r>
      <w:r>
        <w:rPr>
          <w:szCs w:val="24"/>
        </w:rPr>
        <w:t>): “</w:t>
      </w:r>
      <w:r>
        <w:t xml:space="preserve">Member States should ensure that everyone, including children, has access to essential services </w:t>
      </w:r>
      <w:r>
        <w:rPr>
          <w:b/>
          <w:i/>
        </w:rPr>
        <w:t>of good quality</w:t>
      </w:r>
      <w:r>
        <w:t xml:space="preserve">.” which reflects Pillar principle 20 “Everyone has the right to access </w:t>
      </w:r>
      <w:r>
        <w:rPr>
          <w:b/>
          <w:bCs/>
        </w:rPr>
        <w:t>essential services of good quality</w:t>
      </w:r>
      <w:r>
        <w:t>…”.</w:t>
      </w:r>
    </w:p>
    <w:p w14:paraId="027D57EC" w14:textId="77777777" w:rsidR="008E5CDC" w:rsidRDefault="008E5CDC">
      <w:pPr>
        <w:spacing w:after="200" w:line="276" w:lineRule="auto"/>
        <w:rPr>
          <w:szCs w:val="24"/>
          <w:lang w:val="en-IE"/>
        </w:rPr>
      </w:pPr>
      <w:r>
        <w:rPr>
          <w:szCs w:val="24"/>
          <w:lang w:val="en-IE"/>
        </w:rPr>
        <w:br w:type="page"/>
      </w:r>
    </w:p>
    <w:p w14:paraId="4F05E7F2" w14:textId="77777777" w:rsidR="00C10B8E" w:rsidRPr="00135201" w:rsidRDefault="00C10B8E" w:rsidP="00C10B8E">
      <w:pPr>
        <w:spacing w:after="200" w:line="276" w:lineRule="auto"/>
        <w:jc w:val="center"/>
        <w:rPr>
          <w:szCs w:val="24"/>
          <w:lang w:val="en-IE"/>
        </w:rPr>
      </w:pPr>
    </w:p>
    <w:p w14:paraId="7AAD7343" w14:textId="77777777" w:rsidR="00B71FF0" w:rsidRPr="00EE64E6" w:rsidRDefault="00B71FF0" w:rsidP="00B71FF0">
      <w:pPr>
        <w:spacing w:before="5040" w:line="240" w:lineRule="auto"/>
        <w:jc w:val="center"/>
        <w:rPr>
          <w:b/>
          <w:sz w:val="48"/>
          <w:lang w:val="en-GB"/>
        </w:rPr>
      </w:pPr>
      <w:bookmarkStart w:id="5" w:name="PARTTWO"/>
      <w:r w:rsidRPr="00EE64E6">
        <w:rPr>
          <w:b/>
          <w:sz w:val="48"/>
          <w:lang w:val="en-GB"/>
        </w:rPr>
        <w:t>Part Two</w:t>
      </w:r>
      <w:r w:rsidRPr="00EE64E6">
        <w:rPr>
          <w:lang w:val="en-GB"/>
        </w:rPr>
        <w:br/>
      </w:r>
      <w:r w:rsidRPr="00EE64E6">
        <w:rPr>
          <w:b/>
          <w:sz w:val="48"/>
          <w:lang w:val="en-GB"/>
        </w:rPr>
        <w:t>Non-legislative resolutions</w:t>
      </w:r>
    </w:p>
    <w:bookmarkEnd w:id="5"/>
    <w:p w14:paraId="51B4AB06" w14:textId="77777777" w:rsidR="007A1930" w:rsidRDefault="007A1930" w:rsidP="00B71FF0">
      <w:pPr>
        <w:spacing w:after="600" w:line="240" w:lineRule="auto"/>
        <w:jc w:val="center"/>
        <w:rPr>
          <w:lang w:val="en-GB"/>
        </w:rPr>
      </w:pPr>
    </w:p>
    <w:p w14:paraId="6B2BC70D" w14:textId="519172A4" w:rsidR="00B71FF0" w:rsidRDefault="00B71FF0" w:rsidP="00B71FF0">
      <w:pPr>
        <w:spacing w:after="600" w:line="240" w:lineRule="auto"/>
        <w:jc w:val="center"/>
        <w:rPr>
          <w:b/>
          <w:sz w:val="22"/>
          <w:lang w:val="en-GB"/>
        </w:rPr>
      </w:pPr>
      <w:r w:rsidRPr="00EE64E6">
        <w:rPr>
          <w:lang w:val="en-GB"/>
        </w:rPr>
        <w:br w:type="page"/>
      </w:r>
      <w:r w:rsidRPr="00EE64E6">
        <w:rPr>
          <w:b/>
          <w:sz w:val="22"/>
          <w:lang w:val="en-GB"/>
        </w:rPr>
        <w:lastRenderedPageBreak/>
        <w:t xml:space="preserve">THE COMMISSION DOES NOT INTEND TO RESPOND FORMALLY TO THE FOLLOWING NON-LEGISLATIVE RESOLUTIONS, ADOPTED BY THE </w:t>
      </w:r>
      <w:r w:rsidR="008600BB">
        <w:rPr>
          <w:b/>
          <w:sz w:val="22"/>
          <w:lang w:val="en-GB"/>
        </w:rPr>
        <w:br/>
      </w:r>
      <w:r w:rsidRPr="00EE64E6">
        <w:rPr>
          <w:b/>
          <w:sz w:val="22"/>
          <w:lang w:val="en-GB"/>
        </w:rPr>
        <w:t xml:space="preserve">EUROPEAN </w:t>
      </w:r>
      <w:r w:rsidRPr="00C44E52">
        <w:rPr>
          <w:b/>
          <w:sz w:val="22"/>
          <w:lang w:val="en-GB"/>
        </w:rPr>
        <w:t xml:space="preserve">PARLIAMENT DURING THE </w:t>
      </w:r>
      <w:r w:rsidR="000F6B0B">
        <w:rPr>
          <w:b/>
          <w:sz w:val="22"/>
          <w:lang w:val="en-GB"/>
        </w:rPr>
        <w:t>OCTOBER I</w:t>
      </w:r>
      <w:r w:rsidR="00C906F9">
        <w:rPr>
          <w:b/>
          <w:sz w:val="22"/>
          <w:lang w:val="en-GB"/>
        </w:rPr>
        <w:t>I</w:t>
      </w:r>
      <w:r w:rsidR="003C6DA8" w:rsidRPr="00C44E52">
        <w:rPr>
          <w:b/>
          <w:sz w:val="22"/>
          <w:lang w:val="en-GB"/>
        </w:rPr>
        <w:t xml:space="preserve"> 20</w:t>
      </w:r>
      <w:r w:rsidR="000729D8">
        <w:rPr>
          <w:b/>
          <w:sz w:val="22"/>
          <w:lang w:val="en-GB"/>
        </w:rPr>
        <w:t>2</w:t>
      </w:r>
      <w:r w:rsidR="003349DD">
        <w:rPr>
          <w:b/>
          <w:sz w:val="22"/>
          <w:lang w:val="en-GB"/>
        </w:rPr>
        <w:t>2</w:t>
      </w:r>
      <w:r w:rsidR="003C6DA8" w:rsidRPr="00C44E52">
        <w:rPr>
          <w:b/>
          <w:sz w:val="22"/>
          <w:lang w:val="en-GB"/>
        </w:rPr>
        <w:t xml:space="preserve"> </w:t>
      </w:r>
      <w:r w:rsidRPr="00C44E52">
        <w:rPr>
          <w:b/>
          <w:sz w:val="22"/>
          <w:lang w:val="en-GB"/>
        </w:rPr>
        <w:t>PART-SESSION</w:t>
      </w:r>
    </w:p>
    <w:p w14:paraId="55AE2416" w14:textId="77777777" w:rsidR="000D5031" w:rsidRPr="000D5031" w:rsidRDefault="000D5031" w:rsidP="000D5031">
      <w:pPr>
        <w:pStyle w:val="ListParagraph"/>
        <w:numPr>
          <w:ilvl w:val="0"/>
          <w:numId w:val="38"/>
        </w:numPr>
        <w:spacing w:line="240" w:lineRule="auto"/>
        <w:jc w:val="both"/>
        <w:rPr>
          <w:lang w:val="en-GB"/>
        </w:rPr>
      </w:pPr>
      <w:r w:rsidRPr="000D5031">
        <w:rPr>
          <w:noProof/>
          <w:lang w:val="en-GB"/>
        </w:rPr>
        <w:t>UN Climate Change Conference 2022 in Sharm-el-Sheikh, Egypt (COP27) (2022/2673 (RSP))</w:t>
      </w:r>
    </w:p>
    <w:p w14:paraId="14AB3809" w14:textId="77777777" w:rsidR="000D5031" w:rsidRPr="006B7F25" w:rsidRDefault="000D5031" w:rsidP="000D5031">
      <w:pPr>
        <w:ind w:left="720"/>
        <w:rPr>
          <w:lang w:val="en-GB"/>
        </w:rPr>
      </w:pPr>
      <w:r w:rsidRPr="006B7F25">
        <w:rPr>
          <w:lang w:val="en-GB"/>
        </w:rPr>
        <w:t xml:space="preserve">EP: </w:t>
      </w:r>
      <w:r w:rsidRPr="006B7F25">
        <w:rPr>
          <w:noProof/>
          <w:lang w:val="en-GB"/>
        </w:rPr>
        <w:t>B9-0461/2022</w:t>
      </w:r>
    </w:p>
    <w:p w14:paraId="07917529" w14:textId="77777777" w:rsidR="000D5031" w:rsidRPr="006B7F25" w:rsidRDefault="000D5031" w:rsidP="000D5031">
      <w:pPr>
        <w:ind w:left="720"/>
        <w:rPr>
          <w:lang w:val="en-GB"/>
        </w:rPr>
      </w:pPr>
      <w:r w:rsidRPr="006B7F25">
        <w:rPr>
          <w:lang w:val="en-GB"/>
        </w:rPr>
        <w:t xml:space="preserve">Date: </w:t>
      </w:r>
      <w:r w:rsidRPr="006B7F25">
        <w:rPr>
          <w:noProof/>
          <w:lang w:val="en-GB"/>
        </w:rPr>
        <w:t>20-10-2022</w:t>
      </w:r>
    </w:p>
    <w:p w14:paraId="724848BC" w14:textId="77777777" w:rsidR="000D5031" w:rsidRPr="006B7F25" w:rsidRDefault="000D5031" w:rsidP="000D5031">
      <w:pPr>
        <w:spacing w:after="120"/>
        <w:ind w:firstLine="720"/>
        <w:rPr>
          <w:lang w:val="en-GB"/>
        </w:rPr>
      </w:pPr>
      <w:r w:rsidRPr="006B7F25">
        <w:rPr>
          <w:lang w:val="en-GB"/>
        </w:rPr>
        <w:t xml:space="preserve">Competence: </w:t>
      </w:r>
      <w:r w:rsidRPr="006B7F25">
        <w:rPr>
          <w:noProof/>
          <w:lang w:val="en-GB"/>
        </w:rPr>
        <w:t>Frans TIMMERMANS</w:t>
      </w:r>
    </w:p>
    <w:p w14:paraId="2C14E57F" w14:textId="2F04E422" w:rsidR="000D5031" w:rsidRPr="000D5031" w:rsidRDefault="000D5031" w:rsidP="000D5031">
      <w:pPr>
        <w:spacing w:after="240"/>
        <w:jc w:val="both"/>
        <w:rPr>
          <w:noProof/>
          <w:lang w:val="en-GB"/>
        </w:rPr>
      </w:pPr>
      <w:r>
        <w:rPr>
          <w:noProof/>
          <w:lang w:val="en-GB"/>
        </w:rPr>
        <w:t xml:space="preserve">Reason: </w:t>
      </w:r>
      <w:r w:rsidRPr="000D5031">
        <w:rPr>
          <w:lang w:val="en-GB"/>
        </w:rPr>
        <w:t>The Commission will not be responding formally to the requests addressed in the resolution as they were comprehensively addressed in plenary by</w:t>
      </w:r>
      <w:r w:rsidRPr="000D5031">
        <w:rPr>
          <w:lang w:val="en-GB" w:eastAsia="en-US"/>
        </w:rPr>
        <w:t xml:space="preserve"> </w:t>
      </w:r>
      <w:r>
        <w:rPr>
          <w:lang w:val="en-IE"/>
        </w:rPr>
        <w:t>Commissioner Johansson on behalf of Executive Vice-President Timmermans.</w:t>
      </w:r>
    </w:p>
    <w:p w14:paraId="34E272D2" w14:textId="4159C630" w:rsidR="00C906F9" w:rsidRPr="00C906F9" w:rsidRDefault="00C906F9" w:rsidP="00C906F9">
      <w:pPr>
        <w:pStyle w:val="ListParagraph"/>
        <w:numPr>
          <w:ilvl w:val="0"/>
          <w:numId w:val="43"/>
        </w:numPr>
        <w:spacing w:after="120"/>
        <w:jc w:val="both"/>
        <w:rPr>
          <w:noProof/>
          <w:lang w:val="en-GB"/>
        </w:rPr>
      </w:pPr>
      <w:r w:rsidRPr="00C906F9">
        <w:rPr>
          <w:noProof/>
          <w:lang w:val="en-GB"/>
        </w:rPr>
        <w:t>The situation in Burkina Faso following the coup d’état (2022/2865 (RSP))</w:t>
      </w:r>
    </w:p>
    <w:p w14:paraId="6E5BC27F" w14:textId="77777777" w:rsidR="00C906F9" w:rsidRPr="00A77E49" w:rsidRDefault="00C906F9" w:rsidP="00C906F9">
      <w:pPr>
        <w:pStyle w:val="ListParagraph"/>
        <w:spacing w:after="120"/>
        <w:jc w:val="both"/>
        <w:rPr>
          <w:noProof/>
        </w:rPr>
      </w:pPr>
      <w:r w:rsidRPr="00A77E49">
        <w:rPr>
          <w:noProof/>
        </w:rPr>
        <w:t>EP: RC9-0464/2022</w:t>
      </w:r>
    </w:p>
    <w:p w14:paraId="514164AB" w14:textId="77777777" w:rsidR="00C906F9" w:rsidRPr="00A77E49" w:rsidRDefault="00C906F9" w:rsidP="00C906F9">
      <w:pPr>
        <w:pStyle w:val="ListParagraph"/>
        <w:spacing w:after="120"/>
        <w:jc w:val="both"/>
        <w:rPr>
          <w:noProof/>
        </w:rPr>
      </w:pPr>
      <w:r w:rsidRPr="00A77E49">
        <w:rPr>
          <w:noProof/>
        </w:rPr>
        <w:t>Date: 20-10-2022</w:t>
      </w:r>
    </w:p>
    <w:p w14:paraId="54BFC890" w14:textId="77777777" w:rsidR="00C906F9" w:rsidRPr="00A77E49" w:rsidRDefault="00C906F9" w:rsidP="00C906F9">
      <w:pPr>
        <w:pStyle w:val="ListParagraph"/>
        <w:spacing w:after="120"/>
        <w:jc w:val="both"/>
        <w:rPr>
          <w:noProof/>
        </w:rPr>
      </w:pPr>
      <w:r w:rsidRPr="00A77E49">
        <w:rPr>
          <w:noProof/>
        </w:rPr>
        <w:t>Competence: Josep BORRELL FONTELLES</w:t>
      </w:r>
    </w:p>
    <w:p w14:paraId="79616FC4" w14:textId="1D40A182" w:rsidR="000F6B0B" w:rsidRPr="000F6B0B" w:rsidRDefault="00C906F9" w:rsidP="00C906F9">
      <w:pPr>
        <w:spacing w:after="120"/>
        <w:jc w:val="both"/>
        <w:rPr>
          <w:noProof/>
          <w:lang w:val="en-GB"/>
        </w:rPr>
      </w:pPr>
      <w:r w:rsidRPr="00C906F9">
        <w:rPr>
          <w:noProof/>
          <w:lang w:val="en-GB"/>
        </w:rPr>
        <w:t>Reason: The Commission will not be responding formally to the requests addressed in the resolution as they were comprehensively addressed in plenary by Commissioner Urpilainen, on behalf of the High Representative/Vice-President Borrell.</w:t>
      </w:r>
    </w:p>
    <w:sectPr w:rsidR="000F6B0B" w:rsidRPr="000F6B0B" w:rsidSect="00C85D7E">
      <w:footerReference w:type="default" r:id="rId8"/>
      <w:headerReference w:type="first" r:id="rId9"/>
      <w:footerReference w:type="first" r:id="rId10"/>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EF4B" w14:textId="77777777" w:rsidR="00EC7926" w:rsidRDefault="00EC7926">
      <w:pPr>
        <w:spacing w:line="240" w:lineRule="auto"/>
      </w:pPr>
      <w:r>
        <w:separator/>
      </w:r>
    </w:p>
  </w:endnote>
  <w:endnote w:type="continuationSeparator" w:id="0">
    <w:p w14:paraId="2043CDB5" w14:textId="77777777" w:rsidR="00EC7926" w:rsidRDefault="00EC7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63513"/>
      <w:docPartObj>
        <w:docPartGallery w:val="Page Numbers (Bottom of Page)"/>
        <w:docPartUnique/>
      </w:docPartObj>
    </w:sdtPr>
    <w:sdtEndPr>
      <w:rPr>
        <w:noProof/>
      </w:rPr>
    </w:sdtEndPr>
    <w:sdtContent>
      <w:p w14:paraId="4CB9583F" w14:textId="46F9D430" w:rsidR="00EC7926" w:rsidRDefault="00EC7926">
        <w:pPr>
          <w:pStyle w:val="Footer"/>
          <w:jc w:val="center"/>
        </w:pPr>
        <w:r>
          <w:fldChar w:fldCharType="begin"/>
        </w:r>
        <w:r>
          <w:instrText xml:space="preserve"> PAGE   \* MERGEFORMAT </w:instrText>
        </w:r>
        <w:r>
          <w:fldChar w:fldCharType="separate"/>
        </w:r>
        <w:r w:rsidR="00A77E49">
          <w:rPr>
            <w:noProof/>
          </w:rPr>
          <w:t>3</w:t>
        </w:r>
        <w:r>
          <w:rPr>
            <w:noProof/>
          </w:rPr>
          <w:fldChar w:fldCharType="end"/>
        </w:r>
      </w:p>
    </w:sdtContent>
  </w:sdt>
  <w:p w14:paraId="7D7B498A"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76F8" w14:textId="53E37218" w:rsidR="00EC7926" w:rsidRPr="00D27B10" w:rsidRDefault="00A77E49" w:rsidP="00D27B10">
    <w:pPr>
      <w:pStyle w:val="Footer"/>
    </w:pPr>
    <w:sdt>
      <w:sdtPr>
        <w:id w:val="-2078815292"/>
        <w:dataBinding w:xpath="/Author/Addresses/Address[Id = 'f03b5801-04c9-4931-aa17-c6d6c70bc579']/Footer" w:storeItemID="{838978BC-C3A0-47AD-B09E-817DA4FB7F8A}"/>
        <w:text w:multiLine="1"/>
      </w:sdtPr>
      <w:sdtEndPr/>
      <w:sdtContent>
        <w:r w:rsidR="00D27B10">
          <w:t>Commission européenne/Europese Commissie, 1049 Bruxelles/Brussel, BELGIQUE/BELGIË - Tel. +32 22991111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96EF" w14:textId="77777777" w:rsidR="00EC7926" w:rsidRDefault="00EC7926">
      <w:pPr>
        <w:spacing w:line="240" w:lineRule="auto"/>
      </w:pPr>
      <w:r>
        <w:separator/>
      </w:r>
    </w:p>
  </w:footnote>
  <w:footnote w:type="continuationSeparator" w:id="0">
    <w:p w14:paraId="72959857" w14:textId="77777777" w:rsidR="00EC7926" w:rsidRDefault="00EC7926">
      <w:pPr>
        <w:spacing w:line="240" w:lineRule="auto"/>
      </w:pPr>
      <w:r>
        <w:continuationSeparator/>
      </w:r>
    </w:p>
  </w:footnote>
  <w:footnote w:id="1">
    <w:p w14:paraId="57551F2B" w14:textId="2E40BACA" w:rsidR="00620222" w:rsidRPr="00ED7BEB" w:rsidRDefault="00620222" w:rsidP="00620222">
      <w:pPr>
        <w:pStyle w:val="FootnoteText"/>
        <w:spacing w:after="0"/>
        <w:rPr>
          <w:lang w:val="en-US"/>
        </w:rPr>
      </w:pPr>
      <w:r>
        <w:rPr>
          <w:rStyle w:val="FootnoteReference"/>
        </w:rPr>
        <w:footnoteRef/>
      </w:r>
      <w:r>
        <w:t xml:space="preserve"> </w:t>
      </w:r>
      <w:r>
        <w:tab/>
      </w:r>
      <w:r w:rsidRPr="00ED7BEB">
        <w:t>Recital 8 a (new) “For that purpose, the funding of the European Child Guarantee should be urgently increased with a dedicated budget of at least EUR 20 billion as repeatedly requested by the European Parliament.”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876" w:type="dxa"/>
      <w:tblLayout w:type="fixed"/>
      <w:tblCellMar>
        <w:left w:w="0" w:type="dxa"/>
        <w:right w:w="0" w:type="dxa"/>
      </w:tblCellMar>
      <w:tblLook w:val="0000" w:firstRow="0" w:lastRow="0" w:firstColumn="0" w:lastColumn="0" w:noHBand="0" w:noVBand="0"/>
    </w:tblPr>
    <w:tblGrid>
      <w:gridCol w:w="2296"/>
      <w:gridCol w:w="7290"/>
      <w:gridCol w:w="7290"/>
    </w:tblGrid>
    <w:tr w:rsidR="00EC7926" w:rsidRPr="00A77E49" w14:paraId="179CF99E" w14:textId="77777777" w:rsidTr="008762C3">
      <w:trPr>
        <w:trHeight w:hRule="exact" w:val="1423"/>
      </w:trPr>
      <w:tc>
        <w:tcPr>
          <w:tcW w:w="2296" w:type="dxa"/>
          <w:vAlign w:val="bottom"/>
        </w:tcPr>
        <w:p w14:paraId="7E80D048" w14:textId="77777777" w:rsidR="00EC7926" w:rsidRPr="004754B5" w:rsidRDefault="00EC7926" w:rsidP="004754B5">
          <w:pPr>
            <w:spacing w:before="100" w:beforeAutospacing="1" w:after="200" w:line="276" w:lineRule="auto"/>
            <w:rPr>
              <w:rFonts w:asciiTheme="minorHAnsi" w:eastAsiaTheme="minorHAnsi" w:hAnsiTheme="minorHAnsi" w:cstheme="minorBidi"/>
              <w:sz w:val="22"/>
              <w:szCs w:val="22"/>
              <w:lang w:val="en-GB" w:eastAsia="en-US"/>
            </w:rPr>
          </w:pPr>
          <w:r w:rsidRPr="004754B5">
            <w:rPr>
              <w:rFonts w:asciiTheme="minorHAnsi" w:eastAsiaTheme="minorHAnsi" w:hAnsiTheme="minorHAnsi" w:cstheme="minorBidi"/>
              <w:noProof/>
              <w:sz w:val="22"/>
              <w:szCs w:val="22"/>
              <w:lang w:val="en-GB"/>
            </w:rPr>
            <w:drawing>
              <wp:inline distT="0" distB="0" distL="0" distR="0" wp14:anchorId="7C20EE4C" wp14:editId="1662E564">
                <wp:extent cx="1365250" cy="669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669925"/>
                        </a:xfrm>
                        <a:prstGeom prst="rect">
                          <a:avLst/>
                        </a:prstGeom>
                        <a:noFill/>
                        <a:ln>
                          <a:noFill/>
                        </a:ln>
                      </pic:spPr>
                    </pic:pic>
                  </a:graphicData>
                </a:graphic>
              </wp:inline>
            </w:drawing>
          </w:r>
        </w:p>
      </w:tc>
      <w:tc>
        <w:tcPr>
          <w:tcW w:w="7290" w:type="dxa"/>
        </w:tcPr>
        <w:p w14:paraId="48C1FEA6" w14:textId="77777777" w:rsidR="00D27B10" w:rsidRPr="000F6B0B" w:rsidRDefault="00A77E49" w:rsidP="00D27B10">
          <w:pPr>
            <w:pStyle w:val="ZCom"/>
            <w:rPr>
              <w:rFonts w:ascii="Times New Roman" w:hAnsi="Times New Roman"/>
              <w:lang w:val="en-GB"/>
            </w:rPr>
          </w:pPr>
          <w:sdt>
            <w:sdtPr>
              <w:rPr>
                <w:rFonts w:ascii="Times New Roman" w:hAnsi="Times New Roman"/>
                <w:lang w:val="en-GB"/>
              </w:rPr>
              <w:id w:val="-1449456239"/>
              <w:dataBinding w:xpath="/Texts/OrgaRoot" w:storeItemID="{4EF90DE6-88B6-4264-9629-4D8DFDFE87D2}"/>
              <w:text w:multiLine="1"/>
            </w:sdtPr>
            <w:sdtEndPr/>
            <w:sdtContent>
              <w:r w:rsidR="00D27B10" w:rsidRPr="000F6B0B">
                <w:rPr>
                  <w:rFonts w:ascii="Times New Roman" w:hAnsi="Times New Roman"/>
                  <w:lang w:val="en-GB"/>
                </w:rPr>
                <w:t>EUROPEAN COMMISSION</w:t>
              </w:r>
            </w:sdtContent>
          </w:sdt>
        </w:p>
        <w:p w14:paraId="55530AC8" w14:textId="77777777" w:rsidR="00D27B10" w:rsidRPr="000F6B0B" w:rsidRDefault="00A77E49" w:rsidP="00D27B10">
          <w:pPr>
            <w:pStyle w:val="ZDGName"/>
            <w:rPr>
              <w:rFonts w:ascii="Times New Roman" w:hAnsi="Times New Roman"/>
              <w:caps/>
              <w:lang w:val="en-GB"/>
            </w:rPr>
          </w:pPr>
          <w:sdt>
            <w:sdtPr>
              <w:rPr>
                <w:rFonts w:ascii="Times New Roman" w:hAnsi="Times New Roman"/>
                <w:caps/>
                <w:lang w:val="en-GB"/>
              </w:rPr>
              <w:id w:val="-1073502903"/>
              <w:dataBinding w:xpath="/Author/OrgaEntity1/HeadLine1" w:storeItemID="{7D34054F-3F6D-4A92-A692-E84D0A23A653}"/>
              <w:text w:multiLine="1"/>
            </w:sdtPr>
            <w:sdtEndPr/>
            <w:sdtContent>
              <w:r w:rsidR="00D27B10" w:rsidRPr="000F6B0B">
                <w:rPr>
                  <w:rFonts w:ascii="Times New Roman" w:hAnsi="Times New Roman"/>
                  <w:caps/>
                  <w:lang w:val="en-GB"/>
                </w:rPr>
                <w:t>SECRETARIAT-GENERAL</w:t>
              </w:r>
            </w:sdtContent>
          </w:sdt>
        </w:p>
        <w:p w14:paraId="6DD18ABF" w14:textId="77777777" w:rsidR="00D27B10" w:rsidRPr="000F6B0B" w:rsidRDefault="00D27B10" w:rsidP="00D27B10">
          <w:pPr>
            <w:pStyle w:val="ZDGName"/>
            <w:rPr>
              <w:rFonts w:ascii="Times New Roman" w:hAnsi="Times New Roman"/>
              <w:lang w:val="en-GB"/>
            </w:rPr>
          </w:pPr>
        </w:p>
        <w:p w14:paraId="1AC4B767" w14:textId="77777777" w:rsidR="00D27B10" w:rsidRPr="000F6B0B" w:rsidRDefault="00A77E49" w:rsidP="00D27B10">
          <w:pPr>
            <w:pStyle w:val="ZDGName"/>
            <w:rPr>
              <w:rFonts w:ascii="Times New Roman" w:hAnsi="Times New Roman"/>
              <w:lang w:val="en-GB"/>
            </w:rPr>
          </w:pPr>
          <w:sdt>
            <w:sdtPr>
              <w:rPr>
                <w:rFonts w:ascii="Times New Roman" w:hAnsi="Times New Roman"/>
                <w:lang w:val="en-GB"/>
              </w:rPr>
              <w:id w:val="818927274"/>
              <w:dataBinding w:xpath="/Author/OrgaEntity2/HeadLine1" w:storeItemID="{7D34054F-3F6D-4A92-A692-E84D0A23A653}"/>
              <w:text w:multiLine="1"/>
            </w:sdtPr>
            <w:sdtEndPr/>
            <w:sdtContent>
              <w:r w:rsidR="00D27B10" w:rsidRPr="000F6B0B">
                <w:rPr>
                  <w:rFonts w:ascii="Times New Roman" w:hAnsi="Times New Roman"/>
                  <w:lang w:val="en-GB"/>
                </w:rPr>
                <w:t>Directorate B - Decision-making &amp; Collegiality</w:t>
              </w:r>
            </w:sdtContent>
          </w:sdt>
        </w:p>
        <w:p w14:paraId="25386C7D" w14:textId="07BCA132" w:rsidR="00EC7926" w:rsidRPr="000F6B0B" w:rsidRDefault="00A77E49" w:rsidP="00D27B10">
          <w:pPr>
            <w:spacing w:line="240" w:lineRule="auto"/>
            <w:ind w:right="85"/>
            <w:jc w:val="both"/>
            <w:rPr>
              <w:rFonts w:cs="Arial"/>
              <w:color w:val="000000"/>
              <w:sz w:val="16"/>
              <w:szCs w:val="16"/>
              <w:lang w:val="en-GB" w:eastAsia="fr-BE"/>
            </w:rPr>
          </w:pPr>
          <w:sdt>
            <w:sdtPr>
              <w:rPr>
                <w:b/>
                <w:sz w:val="16"/>
                <w:szCs w:val="16"/>
                <w:lang w:val="en-GB"/>
              </w:rPr>
              <w:id w:val="-1771687423"/>
              <w:dataBinding w:xpath="/Author/OrgaEntity3/HeadLine1" w:storeItemID="{7D34054F-3F6D-4A92-A692-E84D0A23A653}"/>
              <w:text w:multiLine="1"/>
            </w:sdtPr>
            <w:sdtEndPr/>
            <w:sdtContent>
              <w:r w:rsidR="00D27B10" w:rsidRPr="000F6B0B">
                <w:rPr>
                  <w:b/>
                  <w:sz w:val="16"/>
                  <w:szCs w:val="16"/>
                  <w:lang w:val="en-GB"/>
                </w:rPr>
                <w:t>SG.B.3 - Interinstitutional Relations Group (GRI) Secretariat</w:t>
              </w:r>
            </w:sdtContent>
          </w:sdt>
        </w:p>
      </w:tc>
      <w:tc>
        <w:tcPr>
          <w:tcW w:w="7290" w:type="dxa"/>
          <w:vAlign w:val="bottom"/>
        </w:tcPr>
        <w:p w14:paraId="00A6BC93" w14:textId="77777777" w:rsidR="00EC7926" w:rsidRPr="000F6B0B" w:rsidRDefault="00EC7926" w:rsidP="004754B5">
          <w:pPr>
            <w:spacing w:after="200" w:line="240" w:lineRule="auto"/>
            <w:ind w:right="85"/>
            <w:rPr>
              <w:b/>
              <w:sz w:val="16"/>
              <w:szCs w:val="16"/>
              <w:lang w:val="en-GB" w:eastAsia="en-US"/>
            </w:rPr>
          </w:pPr>
        </w:p>
      </w:tc>
    </w:tr>
  </w:tbl>
  <w:p w14:paraId="79ACE709" w14:textId="77777777" w:rsidR="00EC7926" w:rsidRPr="000F6B0B" w:rsidRDefault="00EC792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741"/>
    <w:multiLevelType w:val="hybridMultilevel"/>
    <w:tmpl w:val="7D2C88F2"/>
    <w:lvl w:ilvl="0" w:tplc="3228B35C">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D9F4EC9"/>
    <w:multiLevelType w:val="hybridMultilevel"/>
    <w:tmpl w:val="2C809458"/>
    <w:lvl w:ilvl="0" w:tplc="961053E6">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2D293CE3"/>
    <w:multiLevelType w:val="multilevel"/>
    <w:tmpl w:val="0CE2A82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24C6E"/>
    <w:multiLevelType w:val="hybridMultilevel"/>
    <w:tmpl w:val="CA16540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9"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2874569"/>
    <w:multiLevelType w:val="hybridMultilevel"/>
    <w:tmpl w:val="28E2DAA0"/>
    <w:lvl w:ilvl="0" w:tplc="184A3B2A">
      <w:start w:val="1"/>
      <w:numFmt w:val="decimal"/>
      <w:lvlText w:val="%1."/>
      <w:lvlJc w:val="left"/>
      <w:pPr>
        <w:ind w:left="720" w:hanging="360"/>
      </w:pPr>
      <w:rPr>
        <w:color w:val="1F497D"/>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2"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3"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5"/>
  </w:num>
  <w:num w:numId="4">
    <w:abstractNumId w:val="36"/>
  </w:num>
  <w:num w:numId="5">
    <w:abstractNumId w:val="30"/>
  </w:num>
  <w:num w:numId="6">
    <w:abstractNumId w:val="14"/>
  </w:num>
  <w:num w:numId="7">
    <w:abstractNumId w:val="34"/>
  </w:num>
  <w:num w:numId="8">
    <w:abstractNumId w:val="26"/>
  </w:num>
  <w:num w:numId="9">
    <w:abstractNumId w:val="12"/>
  </w:num>
  <w:num w:numId="10">
    <w:abstractNumId w:val="6"/>
  </w:num>
  <w:num w:numId="11">
    <w:abstractNumId w:val="35"/>
  </w:num>
  <w:num w:numId="12">
    <w:abstractNumId w:val="7"/>
  </w:num>
  <w:num w:numId="13">
    <w:abstractNumId w:val="24"/>
  </w:num>
  <w:num w:numId="14">
    <w:abstractNumId w:val="32"/>
  </w:num>
  <w:num w:numId="15">
    <w:abstractNumId w:val="17"/>
  </w:num>
  <w:num w:numId="16">
    <w:abstractNumId w:val="1"/>
  </w:num>
  <w:num w:numId="17">
    <w:abstractNumId w:val="25"/>
  </w:num>
  <w:num w:numId="18">
    <w:abstractNumId w:val="23"/>
  </w:num>
  <w:num w:numId="19">
    <w:abstractNumId w:val="37"/>
  </w:num>
  <w:num w:numId="20">
    <w:abstractNumId w:val="3"/>
  </w:num>
  <w:num w:numId="21">
    <w:abstractNumId w:val="39"/>
  </w:num>
  <w:num w:numId="22">
    <w:abstractNumId w:val="9"/>
  </w:num>
  <w:num w:numId="23">
    <w:abstractNumId w:val="0"/>
  </w:num>
  <w:num w:numId="24">
    <w:abstractNumId w:val="20"/>
  </w:num>
  <w:num w:numId="25">
    <w:abstractNumId w:val="10"/>
  </w:num>
  <w:num w:numId="26">
    <w:abstractNumId w:val="21"/>
  </w:num>
  <w:num w:numId="27">
    <w:abstractNumId w:val="29"/>
  </w:num>
  <w:num w:numId="28">
    <w:abstractNumId w:val="42"/>
  </w:num>
  <w:num w:numId="29">
    <w:abstractNumId w:val="33"/>
  </w:num>
  <w:num w:numId="30">
    <w:abstractNumId w:val="28"/>
  </w:num>
  <w:num w:numId="31">
    <w:abstractNumId w:val="41"/>
  </w:num>
  <w:num w:numId="32">
    <w:abstractNumId w:val="22"/>
  </w:num>
  <w:num w:numId="33">
    <w:abstractNumId w:val="16"/>
  </w:num>
  <w:num w:numId="34">
    <w:abstractNumId w:val="19"/>
  </w:num>
  <w:num w:numId="35">
    <w:abstractNumId w:val="40"/>
  </w:num>
  <w:num w:numId="36">
    <w:abstractNumId w:val="27"/>
  </w:num>
  <w:num w:numId="37">
    <w:abstractNumId w:val="11"/>
  </w:num>
  <w:num w:numId="38">
    <w:abstractNumId w:val="38"/>
  </w:num>
  <w:num w:numId="39">
    <w:abstractNumId w:val="4"/>
  </w:num>
  <w:num w:numId="40">
    <w:abstractNumId w:val="2"/>
  </w:num>
  <w:num w:numId="41">
    <w:abstractNumId w:val="13"/>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nl-NL"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7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35ED8"/>
    <w:rsid w:val="00000E45"/>
    <w:rsid w:val="00001C75"/>
    <w:rsid w:val="00002127"/>
    <w:rsid w:val="00002E5D"/>
    <w:rsid w:val="00003414"/>
    <w:rsid w:val="0000481F"/>
    <w:rsid w:val="000067A5"/>
    <w:rsid w:val="000067BE"/>
    <w:rsid w:val="0000702D"/>
    <w:rsid w:val="000076B1"/>
    <w:rsid w:val="00011310"/>
    <w:rsid w:val="00015F97"/>
    <w:rsid w:val="00016D89"/>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855"/>
    <w:rsid w:val="00045BF0"/>
    <w:rsid w:val="00046224"/>
    <w:rsid w:val="00052442"/>
    <w:rsid w:val="00053607"/>
    <w:rsid w:val="00055079"/>
    <w:rsid w:val="00055096"/>
    <w:rsid w:val="00055589"/>
    <w:rsid w:val="000557D5"/>
    <w:rsid w:val="000577CD"/>
    <w:rsid w:val="00061954"/>
    <w:rsid w:val="0006264D"/>
    <w:rsid w:val="00065320"/>
    <w:rsid w:val="00065724"/>
    <w:rsid w:val="00067828"/>
    <w:rsid w:val="000712EA"/>
    <w:rsid w:val="000718ED"/>
    <w:rsid w:val="000729D8"/>
    <w:rsid w:val="00073632"/>
    <w:rsid w:val="000749BB"/>
    <w:rsid w:val="0007573A"/>
    <w:rsid w:val="00076D8B"/>
    <w:rsid w:val="000810C3"/>
    <w:rsid w:val="00081F5A"/>
    <w:rsid w:val="000832AF"/>
    <w:rsid w:val="00084136"/>
    <w:rsid w:val="00087A63"/>
    <w:rsid w:val="0009387E"/>
    <w:rsid w:val="00093F2C"/>
    <w:rsid w:val="000953C9"/>
    <w:rsid w:val="000957C1"/>
    <w:rsid w:val="00096F3B"/>
    <w:rsid w:val="000A0207"/>
    <w:rsid w:val="000A0E88"/>
    <w:rsid w:val="000A2685"/>
    <w:rsid w:val="000A4A12"/>
    <w:rsid w:val="000A636A"/>
    <w:rsid w:val="000B1035"/>
    <w:rsid w:val="000B1691"/>
    <w:rsid w:val="000B3275"/>
    <w:rsid w:val="000B4205"/>
    <w:rsid w:val="000C2FF5"/>
    <w:rsid w:val="000C60D6"/>
    <w:rsid w:val="000C6946"/>
    <w:rsid w:val="000C7097"/>
    <w:rsid w:val="000C79B3"/>
    <w:rsid w:val="000D0396"/>
    <w:rsid w:val="000D0DB1"/>
    <w:rsid w:val="000D10D4"/>
    <w:rsid w:val="000D4FA6"/>
    <w:rsid w:val="000D500B"/>
    <w:rsid w:val="000D5031"/>
    <w:rsid w:val="000D59CD"/>
    <w:rsid w:val="000D65C2"/>
    <w:rsid w:val="000D6C11"/>
    <w:rsid w:val="000D70B9"/>
    <w:rsid w:val="000E165B"/>
    <w:rsid w:val="000E575F"/>
    <w:rsid w:val="000E6BA2"/>
    <w:rsid w:val="000E79A3"/>
    <w:rsid w:val="000E7C0B"/>
    <w:rsid w:val="000F2102"/>
    <w:rsid w:val="000F2A1E"/>
    <w:rsid w:val="000F4894"/>
    <w:rsid w:val="000F67B9"/>
    <w:rsid w:val="000F6B0B"/>
    <w:rsid w:val="000F6CE1"/>
    <w:rsid w:val="000F725F"/>
    <w:rsid w:val="00100CEE"/>
    <w:rsid w:val="00102B2E"/>
    <w:rsid w:val="00105CF1"/>
    <w:rsid w:val="001060D4"/>
    <w:rsid w:val="00106B6C"/>
    <w:rsid w:val="0011199D"/>
    <w:rsid w:val="0011242A"/>
    <w:rsid w:val="00112468"/>
    <w:rsid w:val="00112745"/>
    <w:rsid w:val="00112C54"/>
    <w:rsid w:val="00116899"/>
    <w:rsid w:val="001178D2"/>
    <w:rsid w:val="00120883"/>
    <w:rsid w:val="00121E14"/>
    <w:rsid w:val="00122820"/>
    <w:rsid w:val="00123120"/>
    <w:rsid w:val="00123AF4"/>
    <w:rsid w:val="00124974"/>
    <w:rsid w:val="001256F5"/>
    <w:rsid w:val="00125AF3"/>
    <w:rsid w:val="00126785"/>
    <w:rsid w:val="001275A0"/>
    <w:rsid w:val="00131053"/>
    <w:rsid w:val="00133937"/>
    <w:rsid w:val="00135201"/>
    <w:rsid w:val="00136113"/>
    <w:rsid w:val="00143E66"/>
    <w:rsid w:val="00147148"/>
    <w:rsid w:val="00147EC4"/>
    <w:rsid w:val="001522AD"/>
    <w:rsid w:val="00156619"/>
    <w:rsid w:val="00157687"/>
    <w:rsid w:val="0016035E"/>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325B"/>
    <w:rsid w:val="00194104"/>
    <w:rsid w:val="001953FB"/>
    <w:rsid w:val="00195516"/>
    <w:rsid w:val="00195BB4"/>
    <w:rsid w:val="0019716A"/>
    <w:rsid w:val="00197C1D"/>
    <w:rsid w:val="001A295A"/>
    <w:rsid w:val="001A2C75"/>
    <w:rsid w:val="001A3A27"/>
    <w:rsid w:val="001A5F28"/>
    <w:rsid w:val="001A6761"/>
    <w:rsid w:val="001A7A13"/>
    <w:rsid w:val="001B1799"/>
    <w:rsid w:val="001B3239"/>
    <w:rsid w:val="001B3562"/>
    <w:rsid w:val="001B3CFA"/>
    <w:rsid w:val="001B4F99"/>
    <w:rsid w:val="001B50B4"/>
    <w:rsid w:val="001B6C58"/>
    <w:rsid w:val="001C0E24"/>
    <w:rsid w:val="001C7AA8"/>
    <w:rsid w:val="001D04C7"/>
    <w:rsid w:val="001D2B20"/>
    <w:rsid w:val="001D6416"/>
    <w:rsid w:val="001D65E0"/>
    <w:rsid w:val="001E1E30"/>
    <w:rsid w:val="001E216D"/>
    <w:rsid w:val="001E430C"/>
    <w:rsid w:val="001E53FF"/>
    <w:rsid w:val="001E59B8"/>
    <w:rsid w:val="001E60C0"/>
    <w:rsid w:val="001E64A0"/>
    <w:rsid w:val="001E74B9"/>
    <w:rsid w:val="001F0697"/>
    <w:rsid w:val="001F0BBE"/>
    <w:rsid w:val="001F1498"/>
    <w:rsid w:val="001F2CC8"/>
    <w:rsid w:val="001F44D5"/>
    <w:rsid w:val="001F646B"/>
    <w:rsid w:val="002000C7"/>
    <w:rsid w:val="002002E8"/>
    <w:rsid w:val="0020052A"/>
    <w:rsid w:val="00202223"/>
    <w:rsid w:val="0020251A"/>
    <w:rsid w:val="002041F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5DBC"/>
    <w:rsid w:val="0024709A"/>
    <w:rsid w:val="00247145"/>
    <w:rsid w:val="00247E3D"/>
    <w:rsid w:val="00250F89"/>
    <w:rsid w:val="002523DA"/>
    <w:rsid w:val="002566EF"/>
    <w:rsid w:val="002576E0"/>
    <w:rsid w:val="00257975"/>
    <w:rsid w:val="00262F21"/>
    <w:rsid w:val="002631A7"/>
    <w:rsid w:val="00263D68"/>
    <w:rsid w:val="0026424D"/>
    <w:rsid w:val="002654F8"/>
    <w:rsid w:val="002711BA"/>
    <w:rsid w:val="00271E2E"/>
    <w:rsid w:val="00276F5B"/>
    <w:rsid w:val="00285581"/>
    <w:rsid w:val="0029072A"/>
    <w:rsid w:val="00291A9B"/>
    <w:rsid w:val="00297A6F"/>
    <w:rsid w:val="002A02CF"/>
    <w:rsid w:val="002A1869"/>
    <w:rsid w:val="002A481C"/>
    <w:rsid w:val="002A4D93"/>
    <w:rsid w:val="002A5837"/>
    <w:rsid w:val="002A6F3B"/>
    <w:rsid w:val="002B01D8"/>
    <w:rsid w:val="002B1C45"/>
    <w:rsid w:val="002B2E4E"/>
    <w:rsid w:val="002B5A55"/>
    <w:rsid w:val="002C1E7C"/>
    <w:rsid w:val="002C42A0"/>
    <w:rsid w:val="002C4D1F"/>
    <w:rsid w:val="002C61F4"/>
    <w:rsid w:val="002D1F6A"/>
    <w:rsid w:val="002D2B8E"/>
    <w:rsid w:val="002D43F9"/>
    <w:rsid w:val="002D5EF2"/>
    <w:rsid w:val="002E6296"/>
    <w:rsid w:val="002E777F"/>
    <w:rsid w:val="002E7F0A"/>
    <w:rsid w:val="002F2144"/>
    <w:rsid w:val="002F35B1"/>
    <w:rsid w:val="002F3C4F"/>
    <w:rsid w:val="002F7976"/>
    <w:rsid w:val="0030280B"/>
    <w:rsid w:val="00302BB8"/>
    <w:rsid w:val="003030EB"/>
    <w:rsid w:val="00303A72"/>
    <w:rsid w:val="00310798"/>
    <w:rsid w:val="00314DE1"/>
    <w:rsid w:val="003167C9"/>
    <w:rsid w:val="0031759A"/>
    <w:rsid w:val="00322729"/>
    <w:rsid w:val="003248B4"/>
    <w:rsid w:val="00325C34"/>
    <w:rsid w:val="00325CA1"/>
    <w:rsid w:val="003262C1"/>
    <w:rsid w:val="00331238"/>
    <w:rsid w:val="003349DD"/>
    <w:rsid w:val="003350A3"/>
    <w:rsid w:val="00335951"/>
    <w:rsid w:val="003362DC"/>
    <w:rsid w:val="00336317"/>
    <w:rsid w:val="00342308"/>
    <w:rsid w:val="003424B9"/>
    <w:rsid w:val="00343894"/>
    <w:rsid w:val="00346439"/>
    <w:rsid w:val="0035007C"/>
    <w:rsid w:val="0035149E"/>
    <w:rsid w:val="00351503"/>
    <w:rsid w:val="00356506"/>
    <w:rsid w:val="003566B5"/>
    <w:rsid w:val="003567A4"/>
    <w:rsid w:val="003576C5"/>
    <w:rsid w:val="003577DA"/>
    <w:rsid w:val="00357A32"/>
    <w:rsid w:val="00357C41"/>
    <w:rsid w:val="00360F5F"/>
    <w:rsid w:val="00361561"/>
    <w:rsid w:val="00362FD5"/>
    <w:rsid w:val="00363BC2"/>
    <w:rsid w:val="00365C91"/>
    <w:rsid w:val="003669EA"/>
    <w:rsid w:val="003674C6"/>
    <w:rsid w:val="00371400"/>
    <w:rsid w:val="00371EF3"/>
    <w:rsid w:val="00372432"/>
    <w:rsid w:val="00372B7F"/>
    <w:rsid w:val="00372C4C"/>
    <w:rsid w:val="0037375E"/>
    <w:rsid w:val="00373AC1"/>
    <w:rsid w:val="00374A9B"/>
    <w:rsid w:val="00375D5F"/>
    <w:rsid w:val="003766B2"/>
    <w:rsid w:val="00377C4C"/>
    <w:rsid w:val="0038065B"/>
    <w:rsid w:val="00380C79"/>
    <w:rsid w:val="003829E1"/>
    <w:rsid w:val="00382CB5"/>
    <w:rsid w:val="003830C4"/>
    <w:rsid w:val="00390429"/>
    <w:rsid w:val="00391983"/>
    <w:rsid w:val="00391BEE"/>
    <w:rsid w:val="00393E7F"/>
    <w:rsid w:val="00394BAD"/>
    <w:rsid w:val="00395751"/>
    <w:rsid w:val="00396E1A"/>
    <w:rsid w:val="003A033C"/>
    <w:rsid w:val="003A1199"/>
    <w:rsid w:val="003A1A82"/>
    <w:rsid w:val="003A3D18"/>
    <w:rsid w:val="003A59B1"/>
    <w:rsid w:val="003A616A"/>
    <w:rsid w:val="003A63E7"/>
    <w:rsid w:val="003B184A"/>
    <w:rsid w:val="003B552D"/>
    <w:rsid w:val="003B6145"/>
    <w:rsid w:val="003C1995"/>
    <w:rsid w:val="003C25A2"/>
    <w:rsid w:val="003C5DEE"/>
    <w:rsid w:val="003C6DA8"/>
    <w:rsid w:val="003C7591"/>
    <w:rsid w:val="003C77EC"/>
    <w:rsid w:val="003C7CCB"/>
    <w:rsid w:val="003C7D43"/>
    <w:rsid w:val="003D2583"/>
    <w:rsid w:val="003D28EA"/>
    <w:rsid w:val="003D3D6D"/>
    <w:rsid w:val="003D5B3C"/>
    <w:rsid w:val="003D7D20"/>
    <w:rsid w:val="003E4886"/>
    <w:rsid w:val="003E4A3C"/>
    <w:rsid w:val="003F01E8"/>
    <w:rsid w:val="003F0700"/>
    <w:rsid w:val="003F0CCF"/>
    <w:rsid w:val="003F4225"/>
    <w:rsid w:val="00401406"/>
    <w:rsid w:val="00401AE3"/>
    <w:rsid w:val="00402105"/>
    <w:rsid w:val="004022C6"/>
    <w:rsid w:val="004034C6"/>
    <w:rsid w:val="0040545B"/>
    <w:rsid w:val="00406310"/>
    <w:rsid w:val="00406359"/>
    <w:rsid w:val="004064AC"/>
    <w:rsid w:val="004068EE"/>
    <w:rsid w:val="00407049"/>
    <w:rsid w:val="004201F6"/>
    <w:rsid w:val="004209B8"/>
    <w:rsid w:val="00422B13"/>
    <w:rsid w:val="004238D3"/>
    <w:rsid w:val="004247BB"/>
    <w:rsid w:val="00425B42"/>
    <w:rsid w:val="00425F0A"/>
    <w:rsid w:val="004304B6"/>
    <w:rsid w:val="00430AE0"/>
    <w:rsid w:val="00431DFE"/>
    <w:rsid w:val="00434678"/>
    <w:rsid w:val="004353F6"/>
    <w:rsid w:val="0043565D"/>
    <w:rsid w:val="00435B3B"/>
    <w:rsid w:val="00437D6C"/>
    <w:rsid w:val="00440609"/>
    <w:rsid w:val="00442283"/>
    <w:rsid w:val="00443292"/>
    <w:rsid w:val="004440DE"/>
    <w:rsid w:val="004513B3"/>
    <w:rsid w:val="004518F8"/>
    <w:rsid w:val="004533DF"/>
    <w:rsid w:val="004551A1"/>
    <w:rsid w:val="00455DE2"/>
    <w:rsid w:val="004564C9"/>
    <w:rsid w:val="004612AF"/>
    <w:rsid w:val="00464769"/>
    <w:rsid w:val="00466693"/>
    <w:rsid w:val="00471C99"/>
    <w:rsid w:val="00471E49"/>
    <w:rsid w:val="00473D53"/>
    <w:rsid w:val="004754B5"/>
    <w:rsid w:val="00475A2E"/>
    <w:rsid w:val="00481615"/>
    <w:rsid w:val="00481986"/>
    <w:rsid w:val="004821C7"/>
    <w:rsid w:val="00482A76"/>
    <w:rsid w:val="00483F73"/>
    <w:rsid w:val="004844F4"/>
    <w:rsid w:val="0048469B"/>
    <w:rsid w:val="004847D5"/>
    <w:rsid w:val="00485CC3"/>
    <w:rsid w:val="00485E3F"/>
    <w:rsid w:val="004871C5"/>
    <w:rsid w:val="00490853"/>
    <w:rsid w:val="00491E00"/>
    <w:rsid w:val="00492F73"/>
    <w:rsid w:val="00493A49"/>
    <w:rsid w:val="004945A4"/>
    <w:rsid w:val="00494974"/>
    <w:rsid w:val="004A12B0"/>
    <w:rsid w:val="004A150E"/>
    <w:rsid w:val="004A1F6C"/>
    <w:rsid w:val="004A2A0B"/>
    <w:rsid w:val="004A4410"/>
    <w:rsid w:val="004A4DD5"/>
    <w:rsid w:val="004B0C97"/>
    <w:rsid w:val="004B2F3C"/>
    <w:rsid w:val="004B3570"/>
    <w:rsid w:val="004C02AD"/>
    <w:rsid w:val="004C2708"/>
    <w:rsid w:val="004C3D46"/>
    <w:rsid w:val="004D0416"/>
    <w:rsid w:val="004D3A42"/>
    <w:rsid w:val="004D4210"/>
    <w:rsid w:val="004D585F"/>
    <w:rsid w:val="004E1C80"/>
    <w:rsid w:val="004E2CB7"/>
    <w:rsid w:val="004E2DF6"/>
    <w:rsid w:val="004E41A7"/>
    <w:rsid w:val="004E49EF"/>
    <w:rsid w:val="004F0D29"/>
    <w:rsid w:val="004F257D"/>
    <w:rsid w:val="004F29D8"/>
    <w:rsid w:val="004F6866"/>
    <w:rsid w:val="004F68BF"/>
    <w:rsid w:val="00501994"/>
    <w:rsid w:val="00502F56"/>
    <w:rsid w:val="005043DB"/>
    <w:rsid w:val="005068E4"/>
    <w:rsid w:val="00512582"/>
    <w:rsid w:val="00516755"/>
    <w:rsid w:val="00517385"/>
    <w:rsid w:val="00517B51"/>
    <w:rsid w:val="00517EF1"/>
    <w:rsid w:val="00520D95"/>
    <w:rsid w:val="00521425"/>
    <w:rsid w:val="00527E4F"/>
    <w:rsid w:val="00532406"/>
    <w:rsid w:val="005334A9"/>
    <w:rsid w:val="00534273"/>
    <w:rsid w:val="00535892"/>
    <w:rsid w:val="00535980"/>
    <w:rsid w:val="005366D7"/>
    <w:rsid w:val="00537C51"/>
    <w:rsid w:val="00541018"/>
    <w:rsid w:val="00541B61"/>
    <w:rsid w:val="005424D5"/>
    <w:rsid w:val="00542996"/>
    <w:rsid w:val="0054473C"/>
    <w:rsid w:val="00547271"/>
    <w:rsid w:val="00550220"/>
    <w:rsid w:val="005512F2"/>
    <w:rsid w:val="00551AA0"/>
    <w:rsid w:val="0055207E"/>
    <w:rsid w:val="00552D57"/>
    <w:rsid w:val="00553536"/>
    <w:rsid w:val="00553AB2"/>
    <w:rsid w:val="00554DBA"/>
    <w:rsid w:val="00556757"/>
    <w:rsid w:val="00557659"/>
    <w:rsid w:val="005602F2"/>
    <w:rsid w:val="005610DA"/>
    <w:rsid w:val="00561876"/>
    <w:rsid w:val="00561D6E"/>
    <w:rsid w:val="00566ED7"/>
    <w:rsid w:val="005675C4"/>
    <w:rsid w:val="005713F5"/>
    <w:rsid w:val="005714C1"/>
    <w:rsid w:val="005746E1"/>
    <w:rsid w:val="00580A32"/>
    <w:rsid w:val="00585C0A"/>
    <w:rsid w:val="00586B68"/>
    <w:rsid w:val="00586DAC"/>
    <w:rsid w:val="00586DD9"/>
    <w:rsid w:val="005932F3"/>
    <w:rsid w:val="0059401B"/>
    <w:rsid w:val="005960D2"/>
    <w:rsid w:val="005A0F32"/>
    <w:rsid w:val="005A20A8"/>
    <w:rsid w:val="005A4A90"/>
    <w:rsid w:val="005A514F"/>
    <w:rsid w:val="005A5363"/>
    <w:rsid w:val="005B0232"/>
    <w:rsid w:val="005B1FC7"/>
    <w:rsid w:val="005B67C4"/>
    <w:rsid w:val="005B78EE"/>
    <w:rsid w:val="005C1583"/>
    <w:rsid w:val="005C54F0"/>
    <w:rsid w:val="005C6A02"/>
    <w:rsid w:val="005C6D63"/>
    <w:rsid w:val="005D1F63"/>
    <w:rsid w:val="005D6D94"/>
    <w:rsid w:val="005D6FE4"/>
    <w:rsid w:val="005E1960"/>
    <w:rsid w:val="005E1D91"/>
    <w:rsid w:val="005E2C34"/>
    <w:rsid w:val="005E3152"/>
    <w:rsid w:val="005E4581"/>
    <w:rsid w:val="005E534D"/>
    <w:rsid w:val="005E6EAF"/>
    <w:rsid w:val="005F0582"/>
    <w:rsid w:val="005F0778"/>
    <w:rsid w:val="005F088C"/>
    <w:rsid w:val="005F1E1E"/>
    <w:rsid w:val="005F2744"/>
    <w:rsid w:val="005F2E7D"/>
    <w:rsid w:val="005F3A08"/>
    <w:rsid w:val="005F4127"/>
    <w:rsid w:val="005F4822"/>
    <w:rsid w:val="00600B5B"/>
    <w:rsid w:val="00602F7B"/>
    <w:rsid w:val="00602FFD"/>
    <w:rsid w:val="00603199"/>
    <w:rsid w:val="00605751"/>
    <w:rsid w:val="00605E2B"/>
    <w:rsid w:val="00606568"/>
    <w:rsid w:val="00612398"/>
    <w:rsid w:val="0061417E"/>
    <w:rsid w:val="0061419A"/>
    <w:rsid w:val="00614FB9"/>
    <w:rsid w:val="006150FB"/>
    <w:rsid w:val="00616618"/>
    <w:rsid w:val="006173E8"/>
    <w:rsid w:val="00620222"/>
    <w:rsid w:val="0062075A"/>
    <w:rsid w:val="00621D5D"/>
    <w:rsid w:val="00623433"/>
    <w:rsid w:val="00623585"/>
    <w:rsid w:val="00635902"/>
    <w:rsid w:val="00636ECF"/>
    <w:rsid w:val="00640D77"/>
    <w:rsid w:val="0064234A"/>
    <w:rsid w:val="0064526E"/>
    <w:rsid w:val="0064687A"/>
    <w:rsid w:val="00646A03"/>
    <w:rsid w:val="00647FEC"/>
    <w:rsid w:val="00650046"/>
    <w:rsid w:val="00650BAC"/>
    <w:rsid w:val="00652260"/>
    <w:rsid w:val="00652281"/>
    <w:rsid w:val="00652450"/>
    <w:rsid w:val="00654DE9"/>
    <w:rsid w:val="006555F9"/>
    <w:rsid w:val="00655F34"/>
    <w:rsid w:val="00656CFA"/>
    <w:rsid w:val="00660761"/>
    <w:rsid w:val="006610E2"/>
    <w:rsid w:val="00661375"/>
    <w:rsid w:val="00661505"/>
    <w:rsid w:val="006635DB"/>
    <w:rsid w:val="006640E8"/>
    <w:rsid w:val="00666738"/>
    <w:rsid w:val="006678E0"/>
    <w:rsid w:val="006714F3"/>
    <w:rsid w:val="0067260F"/>
    <w:rsid w:val="006765A0"/>
    <w:rsid w:val="006809A7"/>
    <w:rsid w:val="00682D50"/>
    <w:rsid w:val="0068396B"/>
    <w:rsid w:val="00683FF3"/>
    <w:rsid w:val="006869DB"/>
    <w:rsid w:val="00686F21"/>
    <w:rsid w:val="00692AD7"/>
    <w:rsid w:val="00696C8A"/>
    <w:rsid w:val="0069713F"/>
    <w:rsid w:val="00697455"/>
    <w:rsid w:val="006A0162"/>
    <w:rsid w:val="006A0C11"/>
    <w:rsid w:val="006A1DAC"/>
    <w:rsid w:val="006A328C"/>
    <w:rsid w:val="006A50B7"/>
    <w:rsid w:val="006A5DB0"/>
    <w:rsid w:val="006B02F8"/>
    <w:rsid w:val="006B0AC3"/>
    <w:rsid w:val="006B40C2"/>
    <w:rsid w:val="006B64F3"/>
    <w:rsid w:val="006C080F"/>
    <w:rsid w:val="006C0DAC"/>
    <w:rsid w:val="006C7CE1"/>
    <w:rsid w:val="006D03D1"/>
    <w:rsid w:val="006D0602"/>
    <w:rsid w:val="006D129F"/>
    <w:rsid w:val="006D1FB5"/>
    <w:rsid w:val="006D4C90"/>
    <w:rsid w:val="006D5098"/>
    <w:rsid w:val="006D54F2"/>
    <w:rsid w:val="006D5903"/>
    <w:rsid w:val="006D59DC"/>
    <w:rsid w:val="006D5E46"/>
    <w:rsid w:val="006E1B33"/>
    <w:rsid w:val="006E206E"/>
    <w:rsid w:val="006E270A"/>
    <w:rsid w:val="006E2AAD"/>
    <w:rsid w:val="006E3333"/>
    <w:rsid w:val="006E340E"/>
    <w:rsid w:val="006E363A"/>
    <w:rsid w:val="006E3CAB"/>
    <w:rsid w:val="006E4792"/>
    <w:rsid w:val="006E4CD4"/>
    <w:rsid w:val="006E62CB"/>
    <w:rsid w:val="006E75EA"/>
    <w:rsid w:val="006E7FBF"/>
    <w:rsid w:val="006F24B9"/>
    <w:rsid w:val="006F370B"/>
    <w:rsid w:val="006F4014"/>
    <w:rsid w:val="006F46BC"/>
    <w:rsid w:val="006F4DC1"/>
    <w:rsid w:val="006F6BA8"/>
    <w:rsid w:val="00704311"/>
    <w:rsid w:val="00705FF2"/>
    <w:rsid w:val="007071FE"/>
    <w:rsid w:val="00710815"/>
    <w:rsid w:val="00711C88"/>
    <w:rsid w:val="00714BDB"/>
    <w:rsid w:val="00714C30"/>
    <w:rsid w:val="007156EA"/>
    <w:rsid w:val="00715A28"/>
    <w:rsid w:val="00715B0B"/>
    <w:rsid w:val="0071683A"/>
    <w:rsid w:val="00717534"/>
    <w:rsid w:val="0072117B"/>
    <w:rsid w:val="007223D9"/>
    <w:rsid w:val="00724C0A"/>
    <w:rsid w:val="00724EEF"/>
    <w:rsid w:val="007317FB"/>
    <w:rsid w:val="007318F0"/>
    <w:rsid w:val="00731F41"/>
    <w:rsid w:val="0073264B"/>
    <w:rsid w:val="007332DB"/>
    <w:rsid w:val="00733BD1"/>
    <w:rsid w:val="00735ED1"/>
    <w:rsid w:val="00740147"/>
    <w:rsid w:val="007403F5"/>
    <w:rsid w:val="0074184E"/>
    <w:rsid w:val="00741B72"/>
    <w:rsid w:val="00742B5F"/>
    <w:rsid w:val="00743EA2"/>
    <w:rsid w:val="00744C48"/>
    <w:rsid w:val="00744F34"/>
    <w:rsid w:val="00745020"/>
    <w:rsid w:val="00745618"/>
    <w:rsid w:val="007502E9"/>
    <w:rsid w:val="007514DC"/>
    <w:rsid w:val="007522B9"/>
    <w:rsid w:val="00757751"/>
    <w:rsid w:val="007604E9"/>
    <w:rsid w:val="00761477"/>
    <w:rsid w:val="00762164"/>
    <w:rsid w:val="00762179"/>
    <w:rsid w:val="007641FC"/>
    <w:rsid w:val="007655B9"/>
    <w:rsid w:val="00765A4A"/>
    <w:rsid w:val="00766A15"/>
    <w:rsid w:val="0076779A"/>
    <w:rsid w:val="0076785A"/>
    <w:rsid w:val="007732D6"/>
    <w:rsid w:val="0077371F"/>
    <w:rsid w:val="00773A94"/>
    <w:rsid w:val="0077475E"/>
    <w:rsid w:val="007751DA"/>
    <w:rsid w:val="007752D7"/>
    <w:rsid w:val="00777847"/>
    <w:rsid w:val="00782FF5"/>
    <w:rsid w:val="007833DC"/>
    <w:rsid w:val="00783CA0"/>
    <w:rsid w:val="00785A0C"/>
    <w:rsid w:val="00791DF1"/>
    <w:rsid w:val="00793112"/>
    <w:rsid w:val="00793690"/>
    <w:rsid w:val="00794C8E"/>
    <w:rsid w:val="00795091"/>
    <w:rsid w:val="00795172"/>
    <w:rsid w:val="007A016F"/>
    <w:rsid w:val="007A184E"/>
    <w:rsid w:val="007A1930"/>
    <w:rsid w:val="007A24B5"/>
    <w:rsid w:val="007A450E"/>
    <w:rsid w:val="007A5701"/>
    <w:rsid w:val="007B01AE"/>
    <w:rsid w:val="007B0475"/>
    <w:rsid w:val="007B1F01"/>
    <w:rsid w:val="007B2DF1"/>
    <w:rsid w:val="007B2FCC"/>
    <w:rsid w:val="007B32A8"/>
    <w:rsid w:val="007B6766"/>
    <w:rsid w:val="007B6EC2"/>
    <w:rsid w:val="007B7B6F"/>
    <w:rsid w:val="007B7B87"/>
    <w:rsid w:val="007C0DB6"/>
    <w:rsid w:val="007C1869"/>
    <w:rsid w:val="007C4DA7"/>
    <w:rsid w:val="007C5927"/>
    <w:rsid w:val="007D23AB"/>
    <w:rsid w:val="007D26A4"/>
    <w:rsid w:val="007D33AD"/>
    <w:rsid w:val="007D5A06"/>
    <w:rsid w:val="007D5FC6"/>
    <w:rsid w:val="007D6810"/>
    <w:rsid w:val="007D7538"/>
    <w:rsid w:val="007E3EEE"/>
    <w:rsid w:val="007E4CC3"/>
    <w:rsid w:val="007E53A6"/>
    <w:rsid w:val="007E5C0E"/>
    <w:rsid w:val="007E649E"/>
    <w:rsid w:val="007F0743"/>
    <w:rsid w:val="007F147F"/>
    <w:rsid w:val="007F1968"/>
    <w:rsid w:val="007F26D1"/>
    <w:rsid w:val="007F2B7A"/>
    <w:rsid w:val="007F2FA0"/>
    <w:rsid w:val="007F4F7D"/>
    <w:rsid w:val="007F60D7"/>
    <w:rsid w:val="008020BC"/>
    <w:rsid w:val="00803AD5"/>
    <w:rsid w:val="0080430E"/>
    <w:rsid w:val="00805685"/>
    <w:rsid w:val="00806EB4"/>
    <w:rsid w:val="00810BE8"/>
    <w:rsid w:val="00811165"/>
    <w:rsid w:val="008130A5"/>
    <w:rsid w:val="0081579D"/>
    <w:rsid w:val="008169AB"/>
    <w:rsid w:val="008217E4"/>
    <w:rsid w:val="0082222B"/>
    <w:rsid w:val="008231AA"/>
    <w:rsid w:val="00823FC7"/>
    <w:rsid w:val="008246E5"/>
    <w:rsid w:val="00824BF1"/>
    <w:rsid w:val="008263B6"/>
    <w:rsid w:val="00827607"/>
    <w:rsid w:val="008277F4"/>
    <w:rsid w:val="00830AA5"/>
    <w:rsid w:val="00831B13"/>
    <w:rsid w:val="0083309D"/>
    <w:rsid w:val="00833204"/>
    <w:rsid w:val="00833E91"/>
    <w:rsid w:val="00837721"/>
    <w:rsid w:val="008415A8"/>
    <w:rsid w:val="0084295B"/>
    <w:rsid w:val="00843141"/>
    <w:rsid w:val="0084581D"/>
    <w:rsid w:val="00847366"/>
    <w:rsid w:val="00850630"/>
    <w:rsid w:val="0085309F"/>
    <w:rsid w:val="00853203"/>
    <w:rsid w:val="0085402F"/>
    <w:rsid w:val="0086008F"/>
    <w:rsid w:val="008600BB"/>
    <w:rsid w:val="00862E1A"/>
    <w:rsid w:val="008630A9"/>
    <w:rsid w:val="00864F99"/>
    <w:rsid w:val="00865298"/>
    <w:rsid w:val="00866A18"/>
    <w:rsid w:val="00866CE9"/>
    <w:rsid w:val="00871701"/>
    <w:rsid w:val="00871D2D"/>
    <w:rsid w:val="008727CC"/>
    <w:rsid w:val="0087448C"/>
    <w:rsid w:val="00874E4D"/>
    <w:rsid w:val="008762C3"/>
    <w:rsid w:val="00876325"/>
    <w:rsid w:val="00882739"/>
    <w:rsid w:val="008868D6"/>
    <w:rsid w:val="008874A1"/>
    <w:rsid w:val="00887DDD"/>
    <w:rsid w:val="00890A20"/>
    <w:rsid w:val="00892AD6"/>
    <w:rsid w:val="00892F03"/>
    <w:rsid w:val="0089317B"/>
    <w:rsid w:val="0089417D"/>
    <w:rsid w:val="00894189"/>
    <w:rsid w:val="008948C2"/>
    <w:rsid w:val="00894EAE"/>
    <w:rsid w:val="00895599"/>
    <w:rsid w:val="008A065C"/>
    <w:rsid w:val="008A1A0C"/>
    <w:rsid w:val="008A216A"/>
    <w:rsid w:val="008A2176"/>
    <w:rsid w:val="008A451D"/>
    <w:rsid w:val="008A464F"/>
    <w:rsid w:val="008A5969"/>
    <w:rsid w:val="008A6703"/>
    <w:rsid w:val="008A7747"/>
    <w:rsid w:val="008B08A4"/>
    <w:rsid w:val="008B4DB5"/>
    <w:rsid w:val="008B614F"/>
    <w:rsid w:val="008B7AD8"/>
    <w:rsid w:val="008C2C5F"/>
    <w:rsid w:val="008C4AA4"/>
    <w:rsid w:val="008C6676"/>
    <w:rsid w:val="008C71BA"/>
    <w:rsid w:val="008D2E03"/>
    <w:rsid w:val="008D35E8"/>
    <w:rsid w:val="008E14C6"/>
    <w:rsid w:val="008E29E4"/>
    <w:rsid w:val="008E4B5B"/>
    <w:rsid w:val="008E5CDC"/>
    <w:rsid w:val="008E75F7"/>
    <w:rsid w:val="008F2389"/>
    <w:rsid w:val="008F503E"/>
    <w:rsid w:val="00901CA8"/>
    <w:rsid w:val="0090401E"/>
    <w:rsid w:val="00904C46"/>
    <w:rsid w:val="00906C9D"/>
    <w:rsid w:val="0090729B"/>
    <w:rsid w:val="0091130F"/>
    <w:rsid w:val="0091219B"/>
    <w:rsid w:val="009124EA"/>
    <w:rsid w:val="00912B0A"/>
    <w:rsid w:val="00914472"/>
    <w:rsid w:val="00914855"/>
    <w:rsid w:val="009149D3"/>
    <w:rsid w:val="00914C06"/>
    <w:rsid w:val="0091647F"/>
    <w:rsid w:val="00920B5E"/>
    <w:rsid w:val="00922992"/>
    <w:rsid w:val="00922A4E"/>
    <w:rsid w:val="00922C1C"/>
    <w:rsid w:val="00923C83"/>
    <w:rsid w:val="00925AEE"/>
    <w:rsid w:val="0092754A"/>
    <w:rsid w:val="00930517"/>
    <w:rsid w:val="0093057B"/>
    <w:rsid w:val="009319CF"/>
    <w:rsid w:val="00932F5F"/>
    <w:rsid w:val="0093322E"/>
    <w:rsid w:val="00933312"/>
    <w:rsid w:val="00934650"/>
    <w:rsid w:val="00935ED8"/>
    <w:rsid w:val="00940133"/>
    <w:rsid w:val="009425D1"/>
    <w:rsid w:val="00942723"/>
    <w:rsid w:val="009459F9"/>
    <w:rsid w:val="0094607D"/>
    <w:rsid w:val="00947A22"/>
    <w:rsid w:val="00947C7C"/>
    <w:rsid w:val="00950593"/>
    <w:rsid w:val="009513E8"/>
    <w:rsid w:val="009516C8"/>
    <w:rsid w:val="00952870"/>
    <w:rsid w:val="0095501C"/>
    <w:rsid w:val="00955669"/>
    <w:rsid w:val="00957461"/>
    <w:rsid w:val="009578C9"/>
    <w:rsid w:val="00957C1B"/>
    <w:rsid w:val="009606F6"/>
    <w:rsid w:val="00962E1E"/>
    <w:rsid w:val="00963807"/>
    <w:rsid w:val="00964494"/>
    <w:rsid w:val="0096506D"/>
    <w:rsid w:val="00965B78"/>
    <w:rsid w:val="009665AC"/>
    <w:rsid w:val="009674BE"/>
    <w:rsid w:val="00967576"/>
    <w:rsid w:val="00970182"/>
    <w:rsid w:val="009703A1"/>
    <w:rsid w:val="009716F8"/>
    <w:rsid w:val="0097463E"/>
    <w:rsid w:val="00974D5C"/>
    <w:rsid w:val="0097720A"/>
    <w:rsid w:val="0097799B"/>
    <w:rsid w:val="00990A8B"/>
    <w:rsid w:val="00990B4B"/>
    <w:rsid w:val="0099139C"/>
    <w:rsid w:val="0099148A"/>
    <w:rsid w:val="00995361"/>
    <w:rsid w:val="00995AE6"/>
    <w:rsid w:val="00995B05"/>
    <w:rsid w:val="0099667E"/>
    <w:rsid w:val="00996CA0"/>
    <w:rsid w:val="009A27A0"/>
    <w:rsid w:val="009A292B"/>
    <w:rsid w:val="009A3050"/>
    <w:rsid w:val="009A334F"/>
    <w:rsid w:val="009A38C9"/>
    <w:rsid w:val="009A45E5"/>
    <w:rsid w:val="009A7C5B"/>
    <w:rsid w:val="009B13AE"/>
    <w:rsid w:val="009B1FCF"/>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F27F4"/>
    <w:rsid w:val="009F3401"/>
    <w:rsid w:val="009F36CF"/>
    <w:rsid w:val="009F616A"/>
    <w:rsid w:val="00A006B7"/>
    <w:rsid w:val="00A0307F"/>
    <w:rsid w:val="00A03FE6"/>
    <w:rsid w:val="00A06716"/>
    <w:rsid w:val="00A12C19"/>
    <w:rsid w:val="00A12F5E"/>
    <w:rsid w:val="00A131FA"/>
    <w:rsid w:val="00A14185"/>
    <w:rsid w:val="00A15545"/>
    <w:rsid w:val="00A15AF0"/>
    <w:rsid w:val="00A162D8"/>
    <w:rsid w:val="00A17B61"/>
    <w:rsid w:val="00A21947"/>
    <w:rsid w:val="00A22871"/>
    <w:rsid w:val="00A230EF"/>
    <w:rsid w:val="00A236FE"/>
    <w:rsid w:val="00A2382B"/>
    <w:rsid w:val="00A246D5"/>
    <w:rsid w:val="00A24987"/>
    <w:rsid w:val="00A25564"/>
    <w:rsid w:val="00A26785"/>
    <w:rsid w:val="00A31044"/>
    <w:rsid w:val="00A427C7"/>
    <w:rsid w:val="00A44C06"/>
    <w:rsid w:val="00A45962"/>
    <w:rsid w:val="00A46C12"/>
    <w:rsid w:val="00A522DE"/>
    <w:rsid w:val="00A5267A"/>
    <w:rsid w:val="00A52C83"/>
    <w:rsid w:val="00A54E6E"/>
    <w:rsid w:val="00A555B6"/>
    <w:rsid w:val="00A55611"/>
    <w:rsid w:val="00A55731"/>
    <w:rsid w:val="00A56D81"/>
    <w:rsid w:val="00A60513"/>
    <w:rsid w:val="00A60655"/>
    <w:rsid w:val="00A62EBA"/>
    <w:rsid w:val="00A64E90"/>
    <w:rsid w:val="00A67C72"/>
    <w:rsid w:val="00A67E25"/>
    <w:rsid w:val="00A76C9B"/>
    <w:rsid w:val="00A77021"/>
    <w:rsid w:val="00A77E49"/>
    <w:rsid w:val="00A8048D"/>
    <w:rsid w:val="00A86C93"/>
    <w:rsid w:val="00A904DB"/>
    <w:rsid w:val="00A93D35"/>
    <w:rsid w:val="00AA5BB7"/>
    <w:rsid w:val="00AB015D"/>
    <w:rsid w:val="00AB081F"/>
    <w:rsid w:val="00AB0B43"/>
    <w:rsid w:val="00AB0D4C"/>
    <w:rsid w:val="00AB2A2B"/>
    <w:rsid w:val="00AB2A3F"/>
    <w:rsid w:val="00AB3592"/>
    <w:rsid w:val="00AB4AC9"/>
    <w:rsid w:val="00AB5DD7"/>
    <w:rsid w:val="00AB67E8"/>
    <w:rsid w:val="00AC06F0"/>
    <w:rsid w:val="00AC4DEB"/>
    <w:rsid w:val="00AC5B49"/>
    <w:rsid w:val="00AC67B4"/>
    <w:rsid w:val="00AD1882"/>
    <w:rsid w:val="00AD2A8B"/>
    <w:rsid w:val="00AD312B"/>
    <w:rsid w:val="00AD4875"/>
    <w:rsid w:val="00AD65E1"/>
    <w:rsid w:val="00AD692C"/>
    <w:rsid w:val="00AE0541"/>
    <w:rsid w:val="00AE0B5B"/>
    <w:rsid w:val="00AE0E3C"/>
    <w:rsid w:val="00AE1C1B"/>
    <w:rsid w:val="00AE2613"/>
    <w:rsid w:val="00AE2C79"/>
    <w:rsid w:val="00AE4A52"/>
    <w:rsid w:val="00AE67EC"/>
    <w:rsid w:val="00AE68F1"/>
    <w:rsid w:val="00AE7FAD"/>
    <w:rsid w:val="00AF05BB"/>
    <w:rsid w:val="00AF1073"/>
    <w:rsid w:val="00AF3817"/>
    <w:rsid w:val="00AF5A38"/>
    <w:rsid w:val="00AF5EB4"/>
    <w:rsid w:val="00AF7A74"/>
    <w:rsid w:val="00B01764"/>
    <w:rsid w:val="00B01C12"/>
    <w:rsid w:val="00B02E0C"/>
    <w:rsid w:val="00B0497E"/>
    <w:rsid w:val="00B075A0"/>
    <w:rsid w:val="00B10F21"/>
    <w:rsid w:val="00B1361C"/>
    <w:rsid w:val="00B13AB8"/>
    <w:rsid w:val="00B15786"/>
    <w:rsid w:val="00B15CA1"/>
    <w:rsid w:val="00B15F5B"/>
    <w:rsid w:val="00B2121A"/>
    <w:rsid w:val="00B2212A"/>
    <w:rsid w:val="00B22470"/>
    <w:rsid w:val="00B25073"/>
    <w:rsid w:val="00B2607A"/>
    <w:rsid w:val="00B2670F"/>
    <w:rsid w:val="00B27DB2"/>
    <w:rsid w:val="00B4008D"/>
    <w:rsid w:val="00B4166B"/>
    <w:rsid w:val="00B42C84"/>
    <w:rsid w:val="00B43EA5"/>
    <w:rsid w:val="00B44FE0"/>
    <w:rsid w:val="00B46262"/>
    <w:rsid w:val="00B47865"/>
    <w:rsid w:val="00B504B9"/>
    <w:rsid w:val="00B531C7"/>
    <w:rsid w:val="00B54909"/>
    <w:rsid w:val="00B54BE7"/>
    <w:rsid w:val="00B54F65"/>
    <w:rsid w:val="00B55C88"/>
    <w:rsid w:val="00B56734"/>
    <w:rsid w:val="00B56E46"/>
    <w:rsid w:val="00B60790"/>
    <w:rsid w:val="00B612B9"/>
    <w:rsid w:val="00B6245A"/>
    <w:rsid w:val="00B715EA"/>
    <w:rsid w:val="00B718C8"/>
    <w:rsid w:val="00B71FF0"/>
    <w:rsid w:val="00B735BD"/>
    <w:rsid w:val="00B745E8"/>
    <w:rsid w:val="00B76C33"/>
    <w:rsid w:val="00B80423"/>
    <w:rsid w:val="00B8270E"/>
    <w:rsid w:val="00B82CF0"/>
    <w:rsid w:val="00B82F50"/>
    <w:rsid w:val="00B83DCA"/>
    <w:rsid w:val="00B8474F"/>
    <w:rsid w:val="00B847E1"/>
    <w:rsid w:val="00B85D72"/>
    <w:rsid w:val="00B914EC"/>
    <w:rsid w:val="00B92B36"/>
    <w:rsid w:val="00B92E5B"/>
    <w:rsid w:val="00B9440E"/>
    <w:rsid w:val="00B958B4"/>
    <w:rsid w:val="00B95ABC"/>
    <w:rsid w:val="00B96997"/>
    <w:rsid w:val="00B96CA6"/>
    <w:rsid w:val="00BA0905"/>
    <w:rsid w:val="00BA0CDB"/>
    <w:rsid w:val="00BA2834"/>
    <w:rsid w:val="00BA5125"/>
    <w:rsid w:val="00BA5218"/>
    <w:rsid w:val="00BA55A7"/>
    <w:rsid w:val="00BB01FA"/>
    <w:rsid w:val="00BB035D"/>
    <w:rsid w:val="00BB067D"/>
    <w:rsid w:val="00BB1F55"/>
    <w:rsid w:val="00BB2850"/>
    <w:rsid w:val="00BB387D"/>
    <w:rsid w:val="00BB3C09"/>
    <w:rsid w:val="00BB71EB"/>
    <w:rsid w:val="00BC33E9"/>
    <w:rsid w:val="00BC6D12"/>
    <w:rsid w:val="00BC7266"/>
    <w:rsid w:val="00BD0ADA"/>
    <w:rsid w:val="00BD134F"/>
    <w:rsid w:val="00BD1AC6"/>
    <w:rsid w:val="00BD2E67"/>
    <w:rsid w:val="00BD33C0"/>
    <w:rsid w:val="00BD3EEB"/>
    <w:rsid w:val="00BD3F32"/>
    <w:rsid w:val="00BD47A1"/>
    <w:rsid w:val="00BD7DC7"/>
    <w:rsid w:val="00BE0CB3"/>
    <w:rsid w:val="00BE0F1E"/>
    <w:rsid w:val="00BE46A9"/>
    <w:rsid w:val="00BE5255"/>
    <w:rsid w:val="00BE53A3"/>
    <w:rsid w:val="00BE59E1"/>
    <w:rsid w:val="00BF200D"/>
    <w:rsid w:val="00BF25D3"/>
    <w:rsid w:val="00BF39F0"/>
    <w:rsid w:val="00BF431A"/>
    <w:rsid w:val="00BF4648"/>
    <w:rsid w:val="00BF51E4"/>
    <w:rsid w:val="00C00553"/>
    <w:rsid w:val="00C01311"/>
    <w:rsid w:val="00C01652"/>
    <w:rsid w:val="00C07B70"/>
    <w:rsid w:val="00C10B8E"/>
    <w:rsid w:val="00C158E8"/>
    <w:rsid w:val="00C15919"/>
    <w:rsid w:val="00C16863"/>
    <w:rsid w:val="00C20365"/>
    <w:rsid w:val="00C20C27"/>
    <w:rsid w:val="00C22D03"/>
    <w:rsid w:val="00C25C2C"/>
    <w:rsid w:val="00C269B7"/>
    <w:rsid w:val="00C3118E"/>
    <w:rsid w:val="00C35A1E"/>
    <w:rsid w:val="00C36A94"/>
    <w:rsid w:val="00C37478"/>
    <w:rsid w:val="00C4000A"/>
    <w:rsid w:val="00C40971"/>
    <w:rsid w:val="00C40C40"/>
    <w:rsid w:val="00C4327A"/>
    <w:rsid w:val="00C44573"/>
    <w:rsid w:val="00C44E52"/>
    <w:rsid w:val="00C45897"/>
    <w:rsid w:val="00C479EC"/>
    <w:rsid w:val="00C47CF4"/>
    <w:rsid w:val="00C507BE"/>
    <w:rsid w:val="00C50E9A"/>
    <w:rsid w:val="00C528CC"/>
    <w:rsid w:val="00C52B92"/>
    <w:rsid w:val="00C572FF"/>
    <w:rsid w:val="00C60DCB"/>
    <w:rsid w:val="00C61C47"/>
    <w:rsid w:val="00C6361A"/>
    <w:rsid w:val="00C64277"/>
    <w:rsid w:val="00C664BD"/>
    <w:rsid w:val="00C71928"/>
    <w:rsid w:val="00C71B1A"/>
    <w:rsid w:val="00C71C35"/>
    <w:rsid w:val="00C71F57"/>
    <w:rsid w:val="00C73D57"/>
    <w:rsid w:val="00C75120"/>
    <w:rsid w:val="00C76E10"/>
    <w:rsid w:val="00C83964"/>
    <w:rsid w:val="00C83C52"/>
    <w:rsid w:val="00C84FD2"/>
    <w:rsid w:val="00C851EC"/>
    <w:rsid w:val="00C85D7E"/>
    <w:rsid w:val="00C862BF"/>
    <w:rsid w:val="00C906F9"/>
    <w:rsid w:val="00C91F35"/>
    <w:rsid w:val="00C94D87"/>
    <w:rsid w:val="00C95346"/>
    <w:rsid w:val="00C976E1"/>
    <w:rsid w:val="00CA4086"/>
    <w:rsid w:val="00CA7167"/>
    <w:rsid w:val="00CB0BA7"/>
    <w:rsid w:val="00CB1814"/>
    <w:rsid w:val="00CB273A"/>
    <w:rsid w:val="00CB58EE"/>
    <w:rsid w:val="00CB6BD6"/>
    <w:rsid w:val="00CB7537"/>
    <w:rsid w:val="00CC18F6"/>
    <w:rsid w:val="00CC1ED9"/>
    <w:rsid w:val="00CC3095"/>
    <w:rsid w:val="00CC33E8"/>
    <w:rsid w:val="00CC345E"/>
    <w:rsid w:val="00CC396E"/>
    <w:rsid w:val="00CC5CD5"/>
    <w:rsid w:val="00CC780D"/>
    <w:rsid w:val="00CC78D0"/>
    <w:rsid w:val="00CD0282"/>
    <w:rsid w:val="00CD07CB"/>
    <w:rsid w:val="00CD1B67"/>
    <w:rsid w:val="00CD1BF8"/>
    <w:rsid w:val="00CD224B"/>
    <w:rsid w:val="00CD62A2"/>
    <w:rsid w:val="00CD68C4"/>
    <w:rsid w:val="00CD6E84"/>
    <w:rsid w:val="00CE3BEF"/>
    <w:rsid w:val="00CE4BF9"/>
    <w:rsid w:val="00CE4EF1"/>
    <w:rsid w:val="00CE6628"/>
    <w:rsid w:val="00CE6BA7"/>
    <w:rsid w:val="00CE7C59"/>
    <w:rsid w:val="00CF05A8"/>
    <w:rsid w:val="00CF0AB3"/>
    <w:rsid w:val="00CF1394"/>
    <w:rsid w:val="00CF4E4F"/>
    <w:rsid w:val="00CF745C"/>
    <w:rsid w:val="00D016C1"/>
    <w:rsid w:val="00D027A8"/>
    <w:rsid w:val="00D03CE8"/>
    <w:rsid w:val="00D05BDA"/>
    <w:rsid w:val="00D107F5"/>
    <w:rsid w:val="00D13DCD"/>
    <w:rsid w:val="00D143EF"/>
    <w:rsid w:val="00D14C62"/>
    <w:rsid w:val="00D1691C"/>
    <w:rsid w:val="00D171CC"/>
    <w:rsid w:val="00D17888"/>
    <w:rsid w:val="00D2136E"/>
    <w:rsid w:val="00D22119"/>
    <w:rsid w:val="00D27B10"/>
    <w:rsid w:val="00D27F29"/>
    <w:rsid w:val="00D30F76"/>
    <w:rsid w:val="00D3155B"/>
    <w:rsid w:val="00D4062E"/>
    <w:rsid w:val="00D412CD"/>
    <w:rsid w:val="00D41357"/>
    <w:rsid w:val="00D42DEF"/>
    <w:rsid w:val="00D44AA8"/>
    <w:rsid w:val="00D452EC"/>
    <w:rsid w:val="00D474D7"/>
    <w:rsid w:val="00D5056B"/>
    <w:rsid w:val="00D514EF"/>
    <w:rsid w:val="00D53BB8"/>
    <w:rsid w:val="00D54CB9"/>
    <w:rsid w:val="00D5564F"/>
    <w:rsid w:val="00D559A7"/>
    <w:rsid w:val="00D56A8E"/>
    <w:rsid w:val="00D60921"/>
    <w:rsid w:val="00D64256"/>
    <w:rsid w:val="00D64E92"/>
    <w:rsid w:val="00D66140"/>
    <w:rsid w:val="00D67094"/>
    <w:rsid w:val="00D710FC"/>
    <w:rsid w:val="00D725EE"/>
    <w:rsid w:val="00D74FE0"/>
    <w:rsid w:val="00D752D0"/>
    <w:rsid w:val="00D774A4"/>
    <w:rsid w:val="00D8452A"/>
    <w:rsid w:val="00D948B0"/>
    <w:rsid w:val="00D95581"/>
    <w:rsid w:val="00D969AF"/>
    <w:rsid w:val="00D9781C"/>
    <w:rsid w:val="00DA0426"/>
    <w:rsid w:val="00DA4F93"/>
    <w:rsid w:val="00DA5227"/>
    <w:rsid w:val="00DA56DD"/>
    <w:rsid w:val="00DA5D0D"/>
    <w:rsid w:val="00DA60BD"/>
    <w:rsid w:val="00DA66A4"/>
    <w:rsid w:val="00DB354A"/>
    <w:rsid w:val="00DB3AA5"/>
    <w:rsid w:val="00DB5D32"/>
    <w:rsid w:val="00DB698E"/>
    <w:rsid w:val="00DB74F2"/>
    <w:rsid w:val="00DC04DE"/>
    <w:rsid w:val="00DC3C3C"/>
    <w:rsid w:val="00DC5EBD"/>
    <w:rsid w:val="00DC5FA1"/>
    <w:rsid w:val="00DC7CCF"/>
    <w:rsid w:val="00DD1725"/>
    <w:rsid w:val="00DD191F"/>
    <w:rsid w:val="00DD2B7C"/>
    <w:rsid w:val="00DD3D8B"/>
    <w:rsid w:val="00DD49D0"/>
    <w:rsid w:val="00DD55F8"/>
    <w:rsid w:val="00DD5AFE"/>
    <w:rsid w:val="00DD6C54"/>
    <w:rsid w:val="00DD7738"/>
    <w:rsid w:val="00DE696D"/>
    <w:rsid w:val="00E00338"/>
    <w:rsid w:val="00E014B7"/>
    <w:rsid w:val="00E0191C"/>
    <w:rsid w:val="00E01AF2"/>
    <w:rsid w:val="00E01FFD"/>
    <w:rsid w:val="00E022C6"/>
    <w:rsid w:val="00E03052"/>
    <w:rsid w:val="00E069C2"/>
    <w:rsid w:val="00E06C4C"/>
    <w:rsid w:val="00E07552"/>
    <w:rsid w:val="00E07C1F"/>
    <w:rsid w:val="00E11756"/>
    <w:rsid w:val="00E15286"/>
    <w:rsid w:val="00E15F76"/>
    <w:rsid w:val="00E17411"/>
    <w:rsid w:val="00E21025"/>
    <w:rsid w:val="00E26A29"/>
    <w:rsid w:val="00E3344C"/>
    <w:rsid w:val="00E339A1"/>
    <w:rsid w:val="00E34040"/>
    <w:rsid w:val="00E3635F"/>
    <w:rsid w:val="00E41286"/>
    <w:rsid w:val="00E420B4"/>
    <w:rsid w:val="00E4257A"/>
    <w:rsid w:val="00E42AB5"/>
    <w:rsid w:val="00E45DDD"/>
    <w:rsid w:val="00E4712F"/>
    <w:rsid w:val="00E47409"/>
    <w:rsid w:val="00E4769A"/>
    <w:rsid w:val="00E501B1"/>
    <w:rsid w:val="00E51086"/>
    <w:rsid w:val="00E52CA9"/>
    <w:rsid w:val="00E57DE1"/>
    <w:rsid w:val="00E65FB5"/>
    <w:rsid w:val="00E6673F"/>
    <w:rsid w:val="00E66A76"/>
    <w:rsid w:val="00E66DAB"/>
    <w:rsid w:val="00E67BAA"/>
    <w:rsid w:val="00E71FB5"/>
    <w:rsid w:val="00E72767"/>
    <w:rsid w:val="00E74759"/>
    <w:rsid w:val="00E74D19"/>
    <w:rsid w:val="00E75009"/>
    <w:rsid w:val="00E751AF"/>
    <w:rsid w:val="00E752BB"/>
    <w:rsid w:val="00E77CCF"/>
    <w:rsid w:val="00E83411"/>
    <w:rsid w:val="00E86496"/>
    <w:rsid w:val="00E86601"/>
    <w:rsid w:val="00E87AB1"/>
    <w:rsid w:val="00E87F48"/>
    <w:rsid w:val="00E87FDC"/>
    <w:rsid w:val="00E906A2"/>
    <w:rsid w:val="00E92759"/>
    <w:rsid w:val="00E93D63"/>
    <w:rsid w:val="00E93FD7"/>
    <w:rsid w:val="00E9468E"/>
    <w:rsid w:val="00EA022C"/>
    <w:rsid w:val="00EA38F2"/>
    <w:rsid w:val="00EA4E89"/>
    <w:rsid w:val="00EB4348"/>
    <w:rsid w:val="00EB6068"/>
    <w:rsid w:val="00EC067C"/>
    <w:rsid w:val="00EC0D39"/>
    <w:rsid w:val="00EC1EB9"/>
    <w:rsid w:val="00EC24E6"/>
    <w:rsid w:val="00EC4D4A"/>
    <w:rsid w:val="00EC6781"/>
    <w:rsid w:val="00EC7926"/>
    <w:rsid w:val="00ED14E9"/>
    <w:rsid w:val="00ED31A6"/>
    <w:rsid w:val="00ED4358"/>
    <w:rsid w:val="00ED4536"/>
    <w:rsid w:val="00ED552A"/>
    <w:rsid w:val="00ED59DB"/>
    <w:rsid w:val="00ED67FB"/>
    <w:rsid w:val="00EE3656"/>
    <w:rsid w:val="00EE3814"/>
    <w:rsid w:val="00EE3B00"/>
    <w:rsid w:val="00EE4ECA"/>
    <w:rsid w:val="00EE5867"/>
    <w:rsid w:val="00EE5D74"/>
    <w:rsid w:val="00EE64E6"/>
    <w:rsid w:val="00EE6D01"/>
    <w:rsid w:val="00EF3556"/>
    <w:rsid w:val="00EF63C8"/>
    <w:rsid w:val="00F01442"/>
    <w:rsid w:val="00F018BC"/>
    <w:rsid w:val="00F01E32"/>
    <w:rsid w:val="00F03074"/>
    <w:rsid w:val="00F11F70"/>
    <w:rsid w:val="00F1270E"/>
    <w:rsid w:val="00F1364A"/>
    <w:rsid w:val="00F14F20"/>
    <w:rsid w:val="00F15B4C"/>
    <w:rsid w:val="00F249BF"/>
    <w:rsid w:val="00F25852"/>
    <w:rsid w:val="00F2710E"/>
    <w:rsid w:val="00F27E85"/>
    <w:rsid w:val="00F300FD"/>
    <w:rsid w:val="00F31F16"/>
    <w:rsid w:val="00F33C40"/>
    <w:rsid w:val="00F33EB3"/>
    <w:rsid w:val="00F359B9"/>
    <w:rsid w:val="00F37795"/>
    <w:rsid w:val="00F377D0"/>
    <w:rsid w:val="00F40138"/>
    <w:rsid w:val="00F4074E"/>
    <w:rsid w:val="00F41454"/>
    <w:rsid w:val="00F47287"/>
    <w:rsid w:val="00F47CCF"/>
    <w:rsid w:val="00F5091F"/>
    <w:rsid w:val="00F50BDC"/>
    <w:rsid w:val="00F54266"/>
    <w:rsid w:val="00F554F1"/>
    <w:rsid w:val="00F56643"/>
    <w:rsid w:val="00F5726B"/>
    <w:rsid w:val="00F575BE"/>
    <w:rsid w:val="00F612A3"/>
    <w:rsid w:val="00F63742"/>
    <w:rsid w:val="00F63963"/>
    <w:rsid w:val="00F652CB"/>
    <w:rsid w:val="00F655D1"/>
    <w:rsid w:val="00F657E3"/>
    <w:rsid w:val="00F65942"/>
    <w:rsid w:val="00F7136B"/>
    <w:rsid w:val="00F724A4"/>
    <w:rsid w:val="00F747D2"/>
    <w:rsid w:val="00F75563"/>
    <w:rsid w:val="00F818A7"/>
    <w:rsid w:val="00F83070"/>
    <w:rsid w:val="00F84E97"/>
    <w:rsid w:val="00F8612A"/>
    <w:rsid w:val="00F8699F"/>
    <w:rsid w:val="00F901CE"/>
    <w:rsid w:val="00F94691"/>
    <w:rsid w:val="00F947B4"/>
    <w:rsid w:val="00F96E18"/>
    <w:rsid w:val="00FA0F1F"/>
    <w:rsid w:val="00FA291B"/>
    <w:rsid w:val="00FA3007"/>
    <w:rsid w:val="00FA3AF8"/>
    <w:rsid w:val="00FA55BA"/>
    <w:rsid w:val="00FA579A"/>
    <w:rsid w:val="00FA7FAD"/>
    <w:rsid w:val="00FB38F3"/>
    <w:rsid w:val="00FB74D2"/>
    <w:rsid w:val="00FB7C4A"/>
    <w:rsid w:val="00FB7CCD"/>
    <w:rsid w:val="00FC00EB"/>
    <w:rsid w:val="00FC09A7"/>
    <w:rsid w:val="00FC2261"/>
    <w:rsid w:val="00FC5693"/>
    <w:rsid w:val="00FC65DF"/>
    <w:rsid w:val="00FC6B6F"/>
    <w:rsid w:val="00FC6D0E"/>
    <w:rsid w:val="00FD0BBE"/>
    <w:rsid w:val="00FD17FF"/>
    <w:rsid w:val="00FD397A"/>
    <w:rsid w:val="00FD6485"/>
    <w:rsid w:val="00FD664B"/>
    <w:rsid w:val="00FD74C7"/>
    <w:rsid w:val="00FE09D5"/>
    <w:rsid w:val="00FE0CBB"/>
    <w:rsid w:val="00FE3384"/>
    <w:rsid w:val="00FE46FF"/>
    <w:rsid w:val="00FE62DF"/>
    <w:rsid w:val="00FE6C7E"/>
    <w:rsid w:val="00FE7491"/>
    <w:rsid w:val="00FE765B"/>
    <w:rsid w:val="00FF012B"/>
    <w:rsid w:val="00FF39C1"/>
    <w:rsid w:val="00FF71DA"/>
    <w:rsid w:val="00FF7AE0"/>
    <w:rsid w:val="00FF7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9937"/>
    <o:shapelayout v:ext="edit">
      <o:idmap v:ext="edit" data="1"/>
    </o:shapelayout>
  </w:shapeDefaults>
  <w:decimalSymbol w:val=","/>
  <w:listSeparator w:val=";"/>
  <w14:docId w14:val="587EEE74"/>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val="fr-BE"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BE"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BE" w:eastAsia="en-GB"/>
    </w:rPr>
  </w:style>
  <w:style w:type="paragraph" w:customStyle="1" w:styleId="ZCom">
    <w:name w:val="Z_Com"/>
    <w:basedOn w:val="Normal"/>
    <w:next w:val="ZDGName"/>
    <w:uiPriority w:val="2"/>
    <w:rsid w:val="00935ED8"/>
    <w:pPr>
      <w:widowControl w:val="0"/>
      <w:ind w:right="85"/>
    </w:pPr>
    <w:rPr>
      <w:rFonts w:ascii="Arial" w:hAnsi="Arial"/>
      <w:snapToGrid w:val="0"/>
      <w:lang w:eastAsia="en-US"/>
    </w:rPr>
  </w:style>
  <w:style w:type="paragraph" w:customStyle="1" w:styleId="ZDGName">
    <w:name w:val="Z_DGName"/>
    <w:basedOn w:val="Normal"/>
    <w:uiPriority w:val="2"/>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val="fr-BE"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BE"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BE"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val="en-GB"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val="en-GB"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val="en-GB"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BE"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val="en-GB"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lang w:val="en-GB"/>
    </w:rPr>
  </w:style>
  <w:style w:type="paragraph" w:customStyle="1" w:styleId="basictitle">
    <w:name w:val="basic_title"/>
    <w:basedOn w:val="Normal"/>
    <w:rsid w:val="00D41357"/>
    <w:pPr>
      <w:spacing w:before="100" w:beforeAutospacing="1" w:after="165" w:line="240" w:lineRule="auto"/>
    </w:pPr>
    <w:rPr>
      <w:b/>
      <w:bCs/>
      <w:sz w:val="28"/>
      <w:szCs w:val="28"/>
      <w:lang w:val="en-GB"/>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BE"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BE"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val="fr-BE"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BE"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lang w:val="en-G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val="pl-PL"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val="en-GB"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BE"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val="en-GB" w:eastAsia="en-US"/>
    </w:rPr>
  </w:style>
  <w:style w:type="character" w:customStyle="1" w:styleId="BriefingtextChar">
    <w:name w:val="Briefing text Char"/>
    <w:link w:val="Briefingtext"/>
    <w:rsid w:val="003030EB"/>
    <w:rPr>
      <w:rFonts w:ascii="Arial" w:eastAsia="Times New Roman" w:hAnsi="Arial" w:cs="Arial"/>
      <w:szCs w:val="24"/>
    </w:rPr>
  </w:style>
  <w:style w:type="paragraph" w:customStyle="1" w:styleId="LegalNumPar3">
    <w:name w:val="LegalNumPar3"/>
    <w:basedOn w:val="Normal"/>
    <w:rsid w:val="00A62EBA"/>
    <w:pPr>
      <w:numPr>
        <w:ilvl w:val="2"/>
        <w:numId w:val="41"/>
      </w:numPr>
      <w:spacing w:after="240" w:line="360" w:lineRule="auto"/>
    </w:pPr>
    <w:rPr>
      <w:lang w:val="en-GB" w:eastAsia="fr-BE"/>
    </w:rPr>
  </w:style>
  <w:style w:type="paragraph" w:customStyle="1" w:styleId="LegalNumPar2">
    <w:name w:val="LegalNumPar2"/>
    <w:basedOn w:val="Normal"/>
    <w:rsid w:val="00A62EBA"/>
    <w:pPr>
      <w:numPr>
        <w:ilvl w:val="1"/>
        <w:numId w:val="41"/>
      </w:numPr>
      <w:spacing w:after="240" w:line="360" w:lineRule="auto"/>
    </w:pPr>
    <w:rPr>
      <w:lang w:val="en-GB" w:eastAsia="fr-BE"/>
    </w:rPr>
  </w:style>
  <w:style w:type="paragraph" w:customStyle="1" w:styleId="LegalNumPar">
    <w:name w:val="LegalNumPar"/>
    <w:basedOn w:val="Normal"/>
    <w:uiPriority w:val="90"/>
    <w:qFormat/>
    <w:rsid w:val="00A62EBA"/>
    <w:pPr>
      <w:numPr>
        <w:numId w:val="41"/>
      </w:numPr>
      <w:spacing w:after="240" w:line="360" w:lineRule="auto"/>
    </w:pPr>
    <w:rPr>
      <w:lang w:val="en-GB"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35807">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87395974">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694241">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525211">
      <w:bodyDiv w:val="1"/>
      <w:marLeft w:val="0"/>
      <w:marRight w:val="0"/>
      <w:marTop w:val="0"/>
      <w:marBottom w:val="0"/>
      <w:divBdr>
        <w:top w:val="none" w:sz="0" w:space="0" w:color="auto"/>
        <w:left w:val="none" w:sz="0" w:space="0" w:color="auto"/>
        <w:bottom w:val="none" w:sz="0" w:space="0" w:color="auto"/>
        <w:right w:val="none" w:sz="0" w:space="0" w:color="auto"/>
      </w:divBdr>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30947135">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1979802482">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3ADF5-06AF-44A2-AC94-ECA8601B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1132</Words>
  <Characters>6275</Characters>
  <Application>Microsoft Office Word</Application>
  <DocSecurity>0</DocSecurity>
  <Lines>128</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maria-jose.almeida@ec.europa.eu;Raffaella.BIANCHIN@ec.europa.eu</dc:creator>
  <cp:lastModifiedBy>BIANCHIN Raffaella (SG)</cp:lastModifiedBy>
  <cp:revision>10</cp:revision>
  <cp:lastPrinted>2019-01-09T14:37:00Z</cp:lastPrinted>
  <dcterms:created xsi:type="dcterms:W3CDTF">2022-11-07T08:07:00Z</dcterms:created>
  <dcterms:modified xsi:type="dcterms:W3CDTF">2022-11-21T15:53:00Z</dcterms:modified>
</cp:coreProperties>
</file>